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宋体" w:cs="宋体"/>
          <w:b/>
          <w:sz w:val="52"/>
          <w:szCs w:val="52"/>
        </w:rPr>
      </w:pPr>
    </w:p>
    <w:p>
      <w:pPr>
        <w:spacing w:line="1000" w:lineRule="exact"/>
        <w:jc w:val="center"/>
        <w:rPr>
          <w:rFonts w:ascii="宋体" w:cs="宋体"/>
          <w:b/>
          <w:sz w:val="52"/>
          <w:szCs w:val="52"/>
        </w:rPr>
      </w:pPr>
      <w:r>
        <w:rPr>
          <w:rFonts w:hint="eastAsia" w:ascii="宋体" w:cs="宋体"/>
          <w:b/>
          <w:sz w:val="52"/>
          <w:szCs w:val="52"/>
        </w:rPr>
        <w:t>四川省第六建筑有限公司</w:t>
      </w:r>
    </w:p>
    <w:p>
      <w:pPr>
        <w:spacing w:line="1000" w:lineRule="exact"/>
        <w:jc w:val="center"/>
        <w:rPr>
          <w:rFonts w:ascii="宋体" w:cs="宋体"/>
          <w:b/>
          <w:sz w:val="52"/>
          <w:szCs w:val="52"/>
        </w:rPr>
      </w:pPr>
      <w:r>
        <w:rPr>
          <w:rFonts w:hint="eastAsia" w:ascii="宋体" w:cs="宋体"/>
          <w:b/>
          <w:sz w:val="52"/>
          <w:szCs w:val="52"/>
        </w:rPr>
        <w:t>法律服务项目</w:t>
      </w:r>
    </w:p>
    <w:p>
      <w:pPr>
        <w:tabs>
          <w:tab w:val="center" w:pos="5063"/>
          <w:tab w:val="left" w:pos="8746"/>
        </w:tabs>
        <w:spacing w:line="1000" w:lineRule="exact"/>
        <w:jc w:val="left"/>
        <w:rPr>
          <w:rFonts w:ascii="宋体" w:cs="宋体"/>
          <w:b/>
          <w:sz w:val="52"/>
          <w:szCs w:val="52"/>
        </w:rPr>
      </w:pPr>
      <w:r>
        <w:rPr>
          <w:rFonts w:hint="eastAsia" w:ascii="宋体" w:cs="宋体"/>
          <w:b/>
          <w:sz w:val="52"/>
          <w:szCs w:val="52"/>
        </w:rPr>
        <w:tab/>
      </w:r>
      <w:r>
        <w:rPr>
          <w:rFonts w:hint="eastAsia" w:ascii="宋体" w:cs="宋体"/>
          <w:b/>
          <w:sz w:val="52"/>
          <w:szCs w:val="52"/>
        </w:rPr>
        <w:tab/>
      </w:r>
    </w:p>
    <w:p>
      <w:pPr>
        <w:jc w:val="center"/>
        <w:rPr>
          <w:rFonts w:ascii="宋体" w:cs="宋体"/>
          <w:szCs w:val="21"/>
        </w:rPr>
      </w:pPr>
    </w:p>
    <w:p>
      <w:pPr>
        <w:jc w:val="center"/>
        <w:rPr>
          <w:rFonts w:ascii="宋体" w:cs="宋体"/>
          <w:b/>
          <w:sz w:val="52"/>
          <w:szCs w:val="52"/>
        </w:rPr>
      </w:pPr>
      <w:r>
        <w:rPr>
          <w:rFonts w:hint="eastAsia" w:ascii="宋体" w:cs="宋体"/>
          <w:b/>
          <w:sz w:val="52"/>
          <w:szCs w:val="52"/>
        </w:rPr>
        <w:t>招 标 文 件</w:t>
      </w:r>
    </w:p>
    <w:p>
      <w:pPr>
        <w:jc w:val="center"/>
        <w:rPr>
          <w:rFonts w:ascii="宋体" w:cs="宋体"/>
          <w:sz w:val="52"/>
          <w:szCs w:val="52"/>
        </w:rPr>
      </w:pPr>
    </w:p>
    <w:p>
      <w:pPr>
        <w:ind w:firstLine="1827" w:firstLineChars="650"/>
        <w:rPr>
          <w:rFonts w:ascii="宋体" w:cs="宋体"/>
          <w:b/>
          <w:sz w:val="28"/>
          <w:szCs w:val="28"/>
        </w:rPr>
      </w:pPr>
      <w:r>
        <w:rPr>
          <w:rFonts w:hint="eastAsia" w:ascii="宋体" w:cs="宋体"/>
          <w:b/>
          <w:sz w:val="28"/>
          <w:szCs w:val="28"/>
        </w:rPr>
        <w:t>招标文件编号：省六建（2023）法公招1号</w:t>
      </w:r>
    </w:p>
    <w:p>
      <w:pPr>
        <w:spacing w:line="360" w:lineRule="auto"/>
        <w:jc w:val="center"/>
        <w:rPr>
          <w:rFonts w:ascii="宋体" w:cs="宋体"/>
          <w:b/>
          <w:sz w:val="44"/>
          <w:szCs w:val="44"/>
        </w:rPr>
      </w:pPr>
      <w:r>
        <w:rPr>
          <w:rFonts w:hint="eastAsia" w:ascii="宋体" w:cs="宋体"/>
          <w:b/>
          <w:bCs/>
          <w:sz w:val="32"/>
          <w:szCs w:val="32"/>
        </w:rPr>
        <w:drawing>
          <wp:inline distT="0" distB="0" distL="114300" distR="114300">
            <wp:extent cx="1712595" cy="1896110"/>
            <wp:effectExtent l="0" t="0" r="0" b="0"/>
            <wp:docPr id="7" name="图片 1" descr="1400192581611816184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400192581611816184782"/>
                    <pic:cNvPicPr>
                      <a:picLocks noChangeAspect="1"/>
                    </pic:cNvPicPr>
                  </pic:nvPicPr>
                  <pic:blipFill>
                    <a:blip r:embed="rId8"/>
                    <a:stretch>
                      <a:fillRect/>
                    </a:stretch>
                  </pic:blipFill>
                  <pic:spPr>
                    <a:xfrm>
                      <a:off x="0" y="0"/>
                      <a:ext cx="1712595" cy="1896110"/>
                    </a:xfrm>
                    <a:prstGeom prst="rect">
                      <a:avLst/>
                    </a:prstGeom>
                    <a:noFill/>
                    <a:ln w="9525" cap="flat" cmpd="sng">
                      <a:noFill/>
                      <a:prstDash val="solid"/>
                      <a:round/>
                    </a:ln>
                  </pic:spPr>
                </pic:pic>
              </a:graphicData>
            </a:graphic>
          </wp:inline>
        </w:drawing>
      </w:r>
    </w:p>
    <w:p>
      <w:pPr>
        <w:jc w:val="center"/>
        <w:rPr>
          <w:rFonts w:ascii="宋体" w:cs="宋体"/>
          <w:b/>
          <w:sz w:val="52"/>
          <w:szCs w:val="52"/>
        </w:rPr>
      </w:pPr>
    </w:p>
    <w:p>
      <w:pPr>
        <w:jc w:val="center"/>
        <w:rPr>
          <w:rFonts w:ascii="宋体" w:cs="宋体"/>
          <w:b/>
          <w:sz w:val="52"/>
          <w:szCs w:val="52"/>
        </w:rPr>
      </w:pPr>
    </w:p>
    <w:p>
      <w:pPr>
        <w:jc w:val="center"/>
        <w:rPr>
          <w:rFonts w:ascii="宋体" w:cs="宋体"/>
          <w:sz w:val="36"/>
          <w:szCs w:val="36"/>
        </w:rPr>
      </w:pPr>
      <w:r>
        <w:rPr>
          <w:rFonts w:hint="eastAsia" w:ascii="宋体" w:cs="宋体"/>
          <w:sz w:val="36"/>
          <w:szCs w:val="36"/>
        </w:rPr>
        <w:t>招标人：四川省第六建筑有限公司</w:t>
      </w:r>
    </w:p>
    <w:p>
      <w:pPr>
        <w:rPr>
          <w:rFonts w:ascii="宋体" w:cs="宋体"/>
          <w:sz w:val="36"/>
          <w:szCs w:val="36"/>
        </w:rPr>
      </w:pPr>
      <w:bookmarkStart w:id="0" w:name="_Toc302376088"/>
    </w:p>
    <w:p>
      <w:pPr>
        <w:jc w:val="center"/>
        <w:rPr>
          <w:rFonts w:ascii="宋体" w:cs="宋体"/>
          <w:sz w:val="36"/>
          <w:szCs w:val="36"/>
        </w:rPr>
      </w:pPr>
      <w:r>
        <w:rPr>
          <w:rFonts w:hint="eastAsia" w:ascii="宋体" w:cs="宋体"/>
          <w:sz w:val="36"/>
          <w:szCs w:val="36"/>
        </w:rPr>
        <w:t>202</w:t>
      </w:r>
      <w:r>
        <w:rPr>
          <w:rFonts w:ascii="宋体" w:cs="宋体"/>
          <w:sz w:val="36"/>
          <w:szCs w:val="36"/>
        </w:rPr>
        <w:t>3</w:t>
      </w:r>
      <w:r>
        <w:rPr>
          <w:rFonts w:hint="eastAsia" w:ascii="宋体" w:cs="宋体"/>
          <w:sz w:val="36"/>
          <w:szCs w:val="36"/>
        </w:rPr>
        <w:t>年3月</w:t>
      </w:r>
      <w:r>
        <w:rPr>
          <w:rFonts w:ascii="宋体" w:cs="宋体"/>
          <w:sz w:val="36"/>
          <w:szCs w:val="36"/>
        </w:rPr>
        <w:t>8</w:t>
      </w:r>
      <w:r>
        <w:rPr>
          <w:rFonts w:hint="eastAsia" w:ascii="宋体" w:cs="宋体"/>
          <w:sz w:val="36"/>
          <w:szCs w:val="36"/>
        </w:rPr>
        <w:t>日</w:t>
      </w:r>
    </w:p>
    <w:p>
      <w:pPr>
        <w:pStyle w:val="4"/>
        <w:numPr>
          <w:ilvl w:val="0"/>
          <w:numId w:val="0"/>
        </w:numPr>
        <w:spacing w:line="440" w:lineRule="exact"/>
        <w:ind w:firstLine="3614" w:firstLineChars="1500"/>
        <w:jc w:val="both"/>
        <w:rPr>
          <w:rFonts w:ascii="宋体" w:eastAsia="宋体" w:cs="宋体"/>
          <w:sz w:val="24"/>
          <w:szCs w:val="24"/>
        </w:rPr>
      </w:pPr>
      <w:bookmarkStart w:id="1" w:name="_Toc8729"/>
      <w:bookmarkStart w:id="2" w:name="_Toc28112"/>
      <w:bookmarkStart w:id="3" w:name="_Toc2571"/>
      <w:bookmarkStart w:id="4" w:name="_Toc32615"/>
      <w:bookmarkStart w:id="5" w:name="_Toc1018"/>
      <w:bookmarkStart w:id="6" w:name="_Toc25904"/>
      <w:bookmarkStart w:id="7" w:name="_Toc8125"/>
      <w:bookmarkStart w:id="8" w:name="_Toc22174"/>
      <w:bookmarkStart w:id="9" w:name="_Toc20102"/>
      <w:r>
        <w:rPr>
          <w:rFonts w:hint="eastAsia" w:ascii="宋体" w:eastAsia="宋体" w:cs="宋体"/>
          <w:sz w:val="24"/>
          <w:szCs w:val="24"/>
        </w:rPr>
        <w:t>投标人须知</w:t>
      </w:r>
      <w:bookmarkEnd w:id="0"/>
      <w:bookmarkEnd w:id="1"/>
      <w:bookmarkEnd w:id="2"/>
      <w:bookmarkEnd w:id="3"/>
      <w:bookmarkEnd w:id="4"/>
      <w:bookmarkEnd w:id="5"/>
      <w:bookmarkEnd w:id="6"/>
      <w:bookmarkEnd w:id="7"/>
      <w:r>
        <w:rPr>
          <w:rFonts w:hint="eastAsia" w:ascii="宋体" w:eastAsia="宋体" w:cs="宋体"/>
          <w:sz w:val="24"/>
          <w:szCs w:val="24"/>
        </w:rPr>
        <w:t>前附表</w:t>
      </w:r>
      <w:bookmarkEnd w:id="8"/>
      <w:bookmarkEnd w:id="9"/>
    </w:p>
    <w:tbl>
      <w:tblPr>
        <w:tblStyle w:val="14"/>
        <w:tblW w:w="106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1"/>
        <w:gridCol w:w="87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86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宋体"/>
                <w:sz w:val="24"/>
              </w:rPr>
            </w:pPr>
            <w:r>
              <w:rPr>
                <w:rFonts w:hint="eastAsia" w:ascii="宋体" w:cs="宋体"/>
                <w:sz w:val="24"/>
              </w:rPr>
              <w:t>招标人</w:t>
            </w:r>
          </w:p>
        </w:tc>
        <w:tc>
          <w:tcPr>
            <w:tcW w:w="877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cs="宋体"/>
                <w:sz w:val="24"/>
              </w:rPr>
            </w:pPr>
            <w:r>
              <w:rPr>
                <w:rFonts w:hint="eastAsia" w:ascii="宋体" w:cs="宋体"/>
                <w:sz w:val="24"/>
              </w:rPr>
              <w:t>四川省第六建筑有限公司，下称“招标人”。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61" w:type="dxa"/>
            <w:tcBorders>
              <w:top w:val="nil"/>
              <w:left w:val="single" w:color="auto" w:sz="4" w:space="0"/>
              <w:bottom w:val="single" w:color="auto" w:sz="4" w:space="0"/>
              <w:right w:val="single" w:color="auto" w:sz="4" w:space="0"/>
            </w:tcBorders>
            <w:noWrap/>
            <w:vAlign w:val="center"/>
          </w:tcPr>
          <w:p>
            <w:pPr>
              <w:spacing w:line="440" w:lineRule="exact"/>
              <w:jc w:val="center"/>
              <w:rPr>
                <w:rFonts w:ascii="宋体" w:cs="宋体"/>
                <w:sz w:val="24"/>
              </w:rPr>
            </w:pPr>
            <w:r>
              <w:rPr>
                <w:rFonts w:hint="eastAsia" w:ascii="宋体" w:cs="宋体"/>
                <w:sz w:val="24"/>
              </w:rPr>
              <w:t>项目名称</w:t>
            </w:r>
          </w:p>
        </w:tc>
        <w:tc>
          <w:tcPr>
            <w:tcW w:w="8771" w:type="dxa"/>
            <w:tcBorders>
              <w:top w:val="nil"/>
              <w:left w:val="single" w:color="auto" w:sz="4" w:space="0"/>
              <w:bottom w:val="single" w:color="auto" w:sz="4" w:space="0"/>
              <w:right w:val="single" w:color="auto" w:sz="4" w:space="0"/>
            </w:tcBorders>
            <w:noWrap/>
            <w:vAlign w:val="center"/>
          </w:tcPr>
          <w:p>
            <w:pPr>
              <w:spacing w:line="440" w:lineRule="exact"/>
              <w:rPr>
                <w:rFonts w:ascii="宋体" w:cs="宋体"/>
                <w:sz w:val="24"/>
              </w:rPr>
            </w:pPr>
            <w:r>
              <w:rPr>
                <w:rFonts w:hint="eastAsia" w:ascii="宋体" w:cs="宋体"/>
                <w:sz w:val="24"/>
              </w:rPr>
              <w:t>“成都市南城都汇商住项目第八期汇怡园（地块#</w:t>
            </w:r>
            <w:r>
              <w:rPr>
                <w:rFonts w:ascii="宋体" w:cs="宋体"/>
                <w:sz w:val="24"/>
              </w:rPr>
              <w:t>18</w:t>
            </w:r>
            <w:r>
              <w:rPr>
                <w:rFonts w:hint="eastAsia" w:ascii="宋体" w:cs="宋体"/>
                <w:sz w:val="24"/>
              </w:rPr>
              <w:t>）住宅及商业项目总承包工程”项目法律服务项目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861" w:type="dxa"/>
            <w:tcBorders>
              <w:top w:val="nil"/>
              <w:left w:val="single" w:color="auto" w:sz="4" w:space="0"/>
              <w:bottom w:val="single" w:color="auto" w:sz="4" w:space="0"/>
              <w:right w:val="single" w:color="auto" w:sz="4" w:space="0"/>
            </w:tcBorders>
            <w:noWrap/>
            <w:vAlign w:val="center"/>
          </w:tcPr>
          <w:p>
            <w:pPr>
              <w:spacing w:line="440" w:lineRule="exact"/>
              <w:jc w:val="center"/>
              <w:rPr>
                <w:rFonts w:ascii="宋体" w:cs="宋体"/>
                <w:sz w:val="24"/>
              </w:rPr>
            </w:pPr>
            <w:r>
              <w:rPr>
                <w:rFonts w:hint="eastAsia" w:ascii="宋体" w:cs="宋体"/>
                <w:sz w:val="24"/>
              </w:rPr>
              <w:t>项目概况</w:t>
            </w:r>
          </w:p>
        </w:tc>
        <w:tc>
          <w:tcPr>
            <w:tcW w:w="8771" w:type="dxa"/>
            <w:tcBorders>
              <w:top w:val="nil"/>
              <w:left w:val="single" w:color="auto" w:sz="4" w:space="0"/>
              <w:bottom w:val="single" w:color="auto" w:sz="4" w:space="0"/>
              <w:right w:val="single" w:color="auto" w:sz="4" w:space="0"/>
            </w:tcBorders>
            <w:noWrap/>
            <w:vAlign w:val="center"/>
          </w:tcPr>
          <w:p>
            <w:pPr>
              <w:spacing w:line="440" w:lineRule="exact"/>
              <w:rPr>
                <w:rFonts w:ascii="宋体" w:cs="宋体"/>
                <w:sz w:val="24"/>
              </w:rPr>
            </w:pPr>
            <w:r>
              <w:rPr>
                <w:rFonts w:hint="eastAsia" w:ascii="宋体" w:cs="宋体"/>
                <w:sz w:val="24"/>
              </w:rPr>
              <w:t>招标人：四川省第六建筑有限公司</w:t>
            </w:r>
          </w:p>
          <w:p>
            <w:pPr>
              <w:spacing w:line="440" w:lineRule="exact"/>
              <w:rPr>
                <w:rFonts w:ascii="宋体" w:cs="宋体"/>
                <w:b/>
                <w:sz w:val="24"/>
              </w:rPr>
            </w:pPr>
            <w:r>
              <w:rPr>
                <w:rFonts w:hint="eastAsia" w:ascii="宋体" w:cs="宋体"/>
                <w:b/>
                <w:sz w:val="24"/>
              </w:rPr>
              <w:t>项目概况：</w:t>
            </w:r>
          </w:p>
          <w:p>
            <w:pPr>
              <w:spacing w:line="440" w:lineRule="exact"/>
              <w:rPr>
                <w:rFonts w:ascii="宋体" w:cs="宋体"/>
                <w:sz w:val="24"/>
              </w:rPr>
            </w:pPr>
            <w:r>
              <w:rPr>
                <w:rFonts w:hint="eastAsia" w:ascii="宋体" w:cs="宋体"/>
                <w:sz w:val="24"/>
              </w:rPr>
              <w:t>项目位于成都市高新区，分为四部分，其中两部分已竣工验收，现因建设单位拖欠进度款及拖延确认索赔签证拟起诉建设单位，标的金额约</w:t>
            </w:r>
            <w:r>
              <w:rPr>
                <w:rFonts w:ascii="宋体" w:cs="宋体"/>
                <w:sz w:val="24"/>
              </w:rPr>
              <w:t>2</w:t>
            </w:r>
            <w:r>
              <w:rPr>
                <w:rFonts w:hint="eastAsia" w:ascii="宋体" w:cs="宋体"/>
                <w:sz w:val="24"/>
              </w:rPr>
              <w:t>.8亿元。</w:t>
            </w:r>
          </w:p>
          <w:p>
            <w:pPr>
              <w:spacing w:line="440" w:lineRule="exact"/>
              <w:rPr>
                <w:rFonts w:ascii="宋体" w:cs="宋体"/>
                <w:sz w:val="24"/>
              </w:rPr>
            </w:pPr>
            <w:r>
              <w:rPr>
                <w:rFonts w:hint="eastAsia" w:ascii="宋体" w:cs="宋体"/>
                <w:sz w:val="24"/>
              </w:rPr>
              <w:t>有意向投标的律所请联系本招标文件中的联系人，项目详细情况请各投标人携带保密承诺函（格式自拟）、授权资料及相关证件至现场领取。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1861" w:type="dxa"/>
            <w:tcBorders>
              <w:top w:val="nil"/>
              <w:left w:val="single" w:color="auto" w:sz="4" w:space="0"/>
              <w:bottom w:val="single" w:color="auto" w:sz="4" w:space="0"/>
              <w:right w:val="single" w:color="auto" w:sz="4" w:space="0"/>
            </w:tcBorders>
            <w:noWrap/>
            <w:vAlign w:val="center"/>
          </w:tcPr>
          <w:p>
            <w:pPr>
              <w:spacing w:line="440" w:lineRule="exact"/>
              <w:jc w:val="center"/>
              <w:rPr>
                <w:rFonts w:ascii="宋体" w:cs="宋体"/>
                <w:sz w:val="24"/>
              </w:rPr>
            </w:pPr>
            <w:r>
              <w:rPr>
                <w:rFonts w:hint="eastAsia" w:ascii="宋体" w:cs="宋体"/>
                <w:sz w:val="24"/>
              </w:rPr>
              <w:t>联系人</w:t>
            </w:r>
          </w:p>
        </w:tc>
        <w:tc>
          <w:tcPr>
            <w:tcW w:w="8771" w:type="dxa"/>
            <w:tcBorders>
              <w:top w:val="nil"/>
              <w:left w:val="single" w:color="auto" w:sz="4" w:space="0"/>
              <w:bottom w:val="single" w:color="auto" w:sz="4" w:space="0"/>
              <w:right w:val="single" w:color="auto" w:sz="4" w:space="0"/>
            </w:tcBorders>
            <w:noWrap/>
            <w:vAlign w:val="center"/>
          </w:tcPr>
          <w:p>
            <w:pPr>
              <w:snapToGrid w:val="0"/>
              <w:spacing w:before="156" w:beforeLines="50" w:after="156" w:afterLines="50" w:line="300" w:lineRule="auto"/>
              <w:ind w:right="450"/>
              <w:jc w:val="left"/>
              <w:rPr>
                <w:rFonts w:ascii="宋体" w:cs="宋体"/>
                <w:sz w:val="24"/>
              </w:rPr>
            </w:pPr>
            <w:r>
              <w:rPr>
                <w:rFonts w:hint="eastAsia" w:ascii="宋体" w:cs="宋体"/>
                <w:sz w:val="24"/>
              </w:rPr>
              <w:t>运营管理部：</w:t>
            </w:r>
            <w:r>
              <w:rPr>
                <w:rFonts w:ascii="宋体" w:cs="宋体"/>
                <w:sz w:val="24"/>
              </w:rPr>
              <w:t>028-83376380</w:t>
            </w:r>
            <w:r>
              <w:rPr>
                <w:rFonts w:hint="eastAsia" w:ascii="宋体" w:cs="宋体"/>
                <w:sz w:val="24"/>
              </w:rPr>
              <w:t>，王国威：13772417013，廖梓然：1</w:t>
            </w:r>
            <w:r>
              <w:rPr>
                <w:rFonts w:ascii="宋体" w:cs="宋体"/>
                <w:sz w:val="24"/>
              </w:rPr>
              <w:t>3688184360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61" w:type="dxa"/>
            <w:tcBorders>
              <w:top w:val="nil"/>
              <w:left w:val="single" w:color="auto" w:sz="4" w:space="0"/>
              <w:bottom w:val="single" w:color="auto" w:sz="4" w:space="0"/>
              <w:right w:val="single" w:color="auto" w:sz="4" w:space="0"/>
            </w:tcBorders>
            <w:noWrap/>
            <w:vAlign w:val="center"/>
          </w:tcPr>
          <w:p>
            <w:pPr>
              <w:spacing w:line="440" w:lineRule="exact"/>
              <w:jc w:val="center"/>
              <w:rPr>
                <w:rFonts w:ascii="宋体" w:cs="宋体"/>
                <w:sz w:val="24"/>
              </w:rPr>
            </w:pPr>
            <w:r>
              <w:rPr>
                <w:rFonts w:hint="eastAsia" w:ascii="宋体" w:cs="宋体"/>
                <w:sz w:val="24"/>
              </w:rPr>
              <w:t>服务目标</w:t>
            </w:r>
          </w:p>
        </w:tc>
        <w:tc>
          <w:tcPr>
            <w:tcW w:w="8771" w:type="dxa"/>
            <w:tcBorders>
              <w:top w:val="nil"/>
              <w:left w:val="single" w:color="auto" w:sz="4" w:space="0"/>
              <w:bottom w:val="single" w:color="auto" w:sz="4" w:space="0"/>
              <w:right w:val="single" w:color="auto" w:sz="4" w:space="0"/>
            </w:tcBorders>
            <w:noWrap/>
            <w:vAlign w:val="center"/>
          </w:tcPr>
          <w:p>
            <w:pPr>
              <w:spacing w:line="440" w:lineRule="exact"/>
              <w:rPr>
                <w:rFonts w:ascii="宋体" w:cs="宋体"/>
                <w:sz w:val="24"/>
              </w:rPr>
            </w:pPr>
            <w:r>
              <w:rPr>
                <w:rFonts w:hint="eastAsia" w:ascii="宋体" w:cs="宋体"/>
                <w:sz w:val="24"/>
              </w:rPr>
              <w:t>通过和谈、诉讼、和解、调解等方式，以现金形式或以物抵债等方式实现招标人的债权回收。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61" w:type="dxa"/>
            <w:tcBorders>
              <w:top w:val="nil"/>
              <w:left w:val="single" w:color="auto" w:sz="4" w:space="0"/>
              <w:bottom w:val="single" w:color="auto" w:sz="4" w:space="0"/>
              <w:right w:val="single" w:color="auto" w:sz="4" w:space="0"/>
            </w:tcBorders>
            <w:noWrap/>
            <w:vAlign w:val="center"/>
          </w:tcPr>
          <w:p>
            <w:pPr>
              <w:spacing w:line="440" w:lineRule="exact"/>
              <w:jc w:val="center"/>
              <w:rPr>
                <w:rFonts w:ascii="宋体" w:cs="宋体"/>
                <w:sz w:val="24"/>
              </w:rPr>
            </w:pPr>
            <w:r>
              <w:rPr>
                <w:rFonts w:hint="eastAsia" w:ascii="宋体" w:cs="宋体"/>
                <w:sz w:val="24"/>
              </w:rPr>
              <w:t>服务范围与时间（暂定）</w:t>
            </w:r>
          </w:p>
        </w:tc>
        <w:tc>
          <w:tcPr>
            <w:tcW w:w="8771" w:type="dxa"/>
            <w:tcBorders>
              <w:top w:val="nil"/>
              <w:left w:val="single" w:color="auto" w:sz="4" w:space="0"/>
              <w:bottom w:val="single" w:color="auto" w:sz="4" w:space="0"/>
              <w:right w:val="single" w:color="auto" w:sz="4" w:space="0"/>
            </w:tcBorders>
            <w:noWrap/>
            <w:vAlign w:val="center"/>
          </w:tcPr>
          <w:p>
            <w:pPr>
              <w:spacing w:line="440" w:lineRule="exact"/>
              <w:rPr>
                <w:rFonts w:ascii="宋体" w:cs="宋体"/>
                <w:sz w:val="24"/>
              </w:rPr>
            </w:pPr>
            <w:r>
              <w:rPr>
                <w:rFonts w:hint="eastAsia" w:ascii="宋体" w:cs="宋体"/>
                <w:sz w:val="24"/>
              </w:rPr>
              <w:t>本次服务为全过程服务，自委托合同签订至债权回收完毕。</w:t>
            </w:r>
            <w:r>
              <w:rPr>
                <w:rFonts w:hint="eastAsia" w:ascii="宋体" w:cs="宋体"/>
                <w:kern w:val="0"/>
                <w:sz w:val="24"/>
              </w:rPr>
              <w:t>本次委托代理范围包括但不限于仲裁、诉讼（含反诉）一审、二审、 保全、执行、破产程序、和解、调解以及与案件相关的执行异议案件等所有程序，直至招标人债权回收完毕。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861" w:type="dxa"/>
            <w:tcBorders>
              <w:top w:val="nil"/>
              <w:left w:val="single" w:color="auto" w:sz="4" w:space="0"/>
              <w:bottom w:val="single" w:color="auto" w:sz="4" w:space="0"/>
              <w:right w:val="single" w:color="auto" w:sz="4" w:space="0"/>
            </w:tcBorders>
            <w:noWrap/>
            <w:vAlign w:val="center"/>
          </w:tcPr>
          <w:p>
            <w:pPr>
              <w:spacing w:line="440" w:lineRule="exact"/>
              <w:jc w:val="center"/>
              <w:rPr>
                <w:rFonts w:ascii="宋体" w:cs="宋体"/>
                <w:sz w:val="24"/>
              </w:rPr>
            </w:pPr>
            <w:r>
              <w:rPr>
                <w:rFonts w:hint="eastAsia" w:ascii="宋体" w:cs="宋体"/>
                <w:sz w:val="24"/>
              </w:rPr>
              <w:t>招标方式</w:t>
            </w:r>
          </w:p>
        </w:tc>
        <w:tc>
          <w:tcPr>
            <w:tcW w:w="8771" w:type="dxa"/>
            <w:tcBorders>
              <w:top w:val="nil"/>
              <w:left w:val="single" w:color="auto" w:sz="4" w:space="0"/>
              <w:bottom w:val="single" w:color="auto" w:sz="4" w:space="0"/>
              <w:right w:val="single" w:color="auto" w:sz="4" w:space="0"/>
            </w:tcBorders>
            <w:noWrap/>
            <w:vAlign w:val="center"/>
          </w:tcPr>
          <w:p>
            <w:pPr>
              <w:spacing w:line="440" w:lineRule="exact"/>
              <w:rPr>
                <w:rFonts w:ascii="宋体" w:cs="宋体"/>
                <w:sz w:val="24"/>
              </w:rPr>
            </w:pPr>
            <w:r>
              <w:rPr>
                <w:rFonts w:hint="eastAsia" w:ascii="宋体" w:cs="宋体"/>
                <w:sz w:val="24"/>
              </w:rPr>
              <w:t>公开招标，择优录取。投标人应根据招标文件所提出的服务范围、服务要求和资格条件要求，综合考虑，自行选择最佳方案进行投标。投标人的投标文件应从专业的团队、优良的服务和优惠的价格体现竞争实力。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0" w:hRule="atLeast"/>
          <w:jc w:val="center"/>
        </w:trPr>
        <w:tc>
          <w:tcPr>
            <w:tcW w:w="186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宋体"/>
                <w:sz w:val="24"/>
              </w:rPr>
            </w:pPr>
            <w:r>
              <w:rPr>
                <w:rFonts w:hint="eastAsia" w:ascii="宋体" w:cs="宋体"/>
                <w:sz w:val="24"/>
              </w:rPr>
              <w:t>资格要求</w:t>
            </w:r>
          </w:p>
        </w:tc>
        <w:tc>
          <w:tcPr>
            <w:tcW w:w="877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cs="宋体"/>
                <w:sz w:val="24"/>
              </w:rPr>
            </w:pPr>
            <w:r>
              <w:rPr>
                <w:rFonts w:hint="eastAsia" w:ascii="宋体" w:cs="宋体"/>
                <w:sz w:val="24"/>
              </w:rPr>
              <w:t>1.依法设立，具有相应执业资质；</w:t>
            </w:r>
          </w:p>
          <w:p>
            <w:pPr>
              <w:spacing w:line="440" w:lineRule="exact"/>
              <w:rPr>
                <w:rFonts w:ascii="宋体" w:cs="宋体"/>
                <w:sz w:val="24"/>
              </w:rPr>
            </w:pPr>
            <w:r>
              <w:rPr>
                <w:rFonts w:hint="eastAsia" w:ascii="宋体" w:cs="宋体"/>
                <w:sz w:val="24"/>
              </w:rPr>
              <w:t xml:space="preserve">2.持有《律师执业证书》的执业律师不少于二十五人，其中具有五年以上执业经验的执业律师不少于五人；        </w:t>
            </w:r>
          </w:p>
          <w:p>
            <w:pPr>
              <w:spacing w:line="440" w:lineRule="exact"/>
              <w:rPr>
                <w:rFonts w:ascii="宋体" w:cs="宋体"/>
                <w:sz w:val="24"/>
              </w:rPr>
            </w:pPr>
            <w:r>
              <w:rPr>
                <w:rFonts w:hint="eastAsia" w:ascii="宋体" w:cs="宋体"/>
                <w:sz w:val="24"/>
              </w:rPr>
              <w:t xml:space="preserve">3.按规定通过了有关部门的年度检验；                                     </w:t>
            </w:r>
          </w:p>
          <w:p>
            <w:pPr>
              <w:spacing w:line="440" w:lineRule="exact"/>
              <w:rPr>
                <w:rFonts w:ascii="宋体" w:cs="宋体"/>
                <w:sz w:val="24"/>
              </w:rPr>
            </w:pPr>
            <w:r>
              <w:rPr>
                <w:rFonts w:hint="eastAsia" w:ascii="宋体" w:cs="宋体"/>
                <w:sz w:val="24"/>
              </w:rPr>
              <w:t>4.有规范、健全的服务质量控制、队伍管理等内部管理制度；</w:t>
            </w:r>
          </w:p>
          <w:p>
            <w:pPr>
              <w:spacing w:line="440" w:lineRule="exact"/>
              <w:rPr>
                <w:rFonts w:ascii="宋体" w:cs="宋体"/>
                <w:sz w:val="24"/>
              </w:rPr>
            </w:pPr>
            <w:r>
              <w:rPr>
                <w:rFonts w:hint="eastAsia" w:ascii="宋体" w:cs="宋体"/>
                <w:sz w:val="24"/>
              </w:rPr>
              <w:t>5.合法经营、依法执业，遵守法律法规、执业道德和执业准则。信誉良好，近三年没有被国家有关部门予以处罚的记录，且</w:t>
            </w:r>
            <w:r>
              <w:rPr>
                <w:rFonts w:hint="eastAsia" w:ascii="宋体" w:cs="宋体"/>
                <w:kern w:val="0"/>
                <w:sz w:val="24"/>
              </w:rPr>
              <w:t>在华西集团范围内没有不良执业记录</w:t>
            </w:r>
            <w:r>
              <w:rPr>
                <w:rFonts w:hint="eastAsia" w:ascii="宋体" w:cs="宋体"/>
                <w:sz w:val="24"/>
              </w:rPr>
              <w:t>；</w:t>
            </w:r>
          </w:p>
          <w:p>
            <w:pPr>
              <w:spacing w:line="440" w:lineRule="exact"/>
              <w:rPr>
                <w:rFonts w:ascii="宋体" w:cs="宋体"/>
                <w:sz w:val="24"/>
              </w:rPr>
            </w:pPr>
            <w:r>
              <w:rPr>
                <w:rFonts w:hint="eastAsia" w:ascii="宋体" w:cs="宋体"/>
                <w:sz w:val="24"/>
              </w:rPr>
              <w:t>6.指派的代理律师有代理同类案件的经验，代理的同类案件且标的金额不少于3</w:t>
            </w:r>
            <w:r>
              <w:rPr>
                <w:rFonts w:ascii="宋体" w:cs="宋体"/>
                <w:sz w:val="24"/>
              </w:rPr>
              <w:t>000</w:t>
            </w:r>
            <w:r>
              <w:rPr>
                <w:rFonts w:hint="eastAsia" w:ascii="宋体" w:cs="宋体"/>
                <w:sz w:val="24"/>
              </w:rPr>
              <w:t>万的应不少于5件，附服务业绩（附裁判文书等相应证明材料）。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1" w:hRule="atLeast"/>
          <w:jc w:val="center"/>
        </w:trPr>
        <w:tc>
          <w:tcPr>
            <w:tcW w:w="186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宋体"/>
                <w:sz w:val="24"/>
              </w:rPr>
            </w:pPr>
            <w:r>
              <w:rPr>
                <w:rFonts w:hint="eastAsia" w:ascii="宋体" w:cs="宋体"/>
                <w:sz w:val="24"/>
              </w:rPr>
              <w:t>投标及报价注意</w:t>
            </w:r>
          </w:p>
        </w:tc>
        <w:tc>
          <w:tcPr>
            <w:tcW w:w="877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cs="宋体"/>
                <w:sz w:val="24"/>
              </w:rPr>
            </w:pPr>
            <w:r>
              <w:rPr>
                <w:rFonts w:hint="eastAsia" w:ascii="宋体" w:cs="宋体"/>
                <w:sz w:val="24"/>
              </w:rPr>
              <w:t>1.所报价格为费用总额，包括法律服务费、市内交通费、通讯费、餐费、住宿费等所有费用。投标人一旦成交，双方将严格按照成交价格签订、执行相关业务约定书，成交价格不得高于投标报价。</w:t>
            </w:r>
          </w:p>
          <w:p>
            <w:pPr>
              <w:snapToGrid w:val="0"/>
              <w:spacing w:before="156" w:beforeLines="50" w:after="156" w:afterLines="50" w:line="300" w:lineRule="auto"/>
              <w:rPr>
                <w:rFonts w:ascii="宋体" w:cs="宋体"/>
                <w:sz w:val="24"/>
              </w:rPr>
            </w:pPr>
            <w:r>
              <w:rPr>
                <w:rFonts w:hint="eastAsia" w:ascii="宋体" w:cs="宋体"/>
                <w:sz w:val="24"/>
              </w:rPr>
              <w:t>2.投标文件应按招标文件要求据实填列，不得弄虚作假，不得有遗漏。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4" w:hRule="atLeast"/>
          <w:jc w:val="center"/>
        </w:trPr>
        <w:tc>
          <w:tcPr>
            <w:tcW w:w="186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宋体"/>
                <w:sz w:val="24"/>
              </w:rPr>
            </w:pPr>
            <w:r>
              <w:rPr>
                <w:rFonts w:hint="eastAsia" w:ascii="宋体" w:cs="宋体"/>
                <w:sz w:val="24"/>
              </w:rPr>
              <w:t>投标文件的编制与提交</w:t>
            </w:r>
          </w:p>
        </w:tc>
        <w:tc>
          <w:tcPr>
            <w:tcW w:w="877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cs="宋体"/>
                <w:sz w:val="24"/>
              </w:rPr>
            </w:pPr>
            <w:r>
              <w:rPr>
                <w:rFonts w:hint="eastAsia" w:ascii="宋体" w:cs="宋体"/>
                <w:sz w:val="24"/>
              </w:rPr>
              <w:t>1.在投标截止时间前，投标人须将投标文件密封提交至我司运营管理部，</w:t>
            </w:r>
            <w:r>
              <w:rPr>
                <w:rFonts w:hint="eastAsia" w:ascii="宋体" w:cs="宋体"/>
                <w:sz w:val="24"/>
                <w:u w:val="single"/>
              </w:rPr>
              <w:t>成都市金牛区星辉中路16号星辉大厦十二楼接待室，</w:t>
            </w:r>
            <w:r>
              <w:rPr>
                <w:rFonts w:hint="eastAsia" w:ascii="宋体" w:cs="宋体"/>
                <w:sz w:val="24"/>
              </w:rPr>
              <w:t>投标文件须严格按招标文件第八条规定的格式编制。投标文件需提交一式陆份，其中正本壹份，副本伍份。</w:t>
            </w:r>
          </w:p>
          <w:p>
            <w:pPr>
              <w:spacing w:line="440" w:lineRule="exact"/>
              <w:rPr>
                <w:rFonts w:ascii="宋体" w:cs="宋体"/>
                <w:sz w:val="24"/>
              </w:rPr>
            </w:pPr>
            <w:r>
              <w:rPr>
                <w:rFonts w:hint="eastAsia" w:ascii="宋体" w:cs="宋体"/>
                <w:sz w:val="24"/>
              </w:rPr>
              <w:t>2.投标文件编制应严格执行招标文件要求，详实、全面，其中，代理方案需详细分析诉讼标的金额的计算方式、诉讼请求的合理性及得到法院支持的可能性、诉讼风险等。</w:t>
            </w:r>
          </w:p>
          <w:p>
            <w:pPr>
              <w:pStyle w:val="2"/>
              <w:numPr>
                <w:ilvl w:val="0"/>
                <w:numId w:val="0"/>
              </w:numPr>
              <w:rPr>
                <w:rFonts w:eastAsia="宋体"/>
              </w:rPr>
            </w:pPr>
            <w:r>
              <w:rPr>
                <w:rFonts w:hint="eastAsia" w:ascii="宋体" w:eastAsia="宋体" w:cs="宋体"/>
              </w:rPr>
              <w:t>3.投标截止时间：</w:t>
            </w:r>
            <w:r>
              <w:rPr>
                <w:rFonts w:hint="eastAsia" w:ascii="宋体" w:eastAsia="宋体" w:cs="宋体"/>
                <w:u w:val="single"/>
              </w:rPr>
              <w:t>202</w:t>
            </w:r>
            <w:r>
              <w:rPr>
                <w:rFonts w:ascii="宋体" w:eastAsia="宋体" w:cs="宋体"/>
                <w:u w:val="single"/>
              </w:rPr>
              <w:t>3</w:t>
            </w:r>
            <w:r>
              <w:rPr>
                <w:rFonts w:hint="eastAsia" w:ascii="宋体" w:eastAsia="宋体" w:cs="宋体"/>
                <w:u w:val="single"/>
              </w:rPr>
              <w:t>年</w:t>
            </w:r>
            <w:r>
              <w:rPr>
                <w:rFonts w:ascii="宋体" w:eastAsia="宋体" w:cs="宋体"/>
                <w:u w:val="single"/>
              </w:rPr>
              <w:t>3</w:t>
            </w:r>
            <w:r>
              <w:rPr>
                <w:rFonts w:hint="eastAsia" w:ascii="宋体" w:eastAsia="宋体" w:cs="宋体"/>
                <w:u w:val="single"/>
              </w:rPr>
              <w:t>月2</w:t>
            </w:r>
            <w:r>
              <w:rPr>
                <w:rFonts w:ascii="宋体" w:eastAsia="宋体" w:cs="宋体"/>
                <w:u w:val="single"/>
              </w:rPr>
              <w:t>7</w:t>
            </w:r>
            <w:r>
              <w:rPr>
                <w:rFonts w:hint="eastAsia" w:ascii="宋体" w:eastAsia="宋体" w:cs="宋体"/>
                <w:u w:val="single"/>
              </w:rPr>
              <w:t>日10：00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3" w:hRule="atLeast"/>
          <w:jc w:val="center"/>
        </w:trPr>
        <w:tc>
          <w:tcPr>
            <w:tcW w:w="186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宋体"/>
                <w:sz w:val="24"/>
              </w:rPr>
            </w:pPr>
            <w:r>
              <w:rPr>
                <w:rFonts w:hint="eastAsia" w:ascii="宋体" w:cs="宋体"/>
                <w:sz w:val="24"/>
              </w:rPr>
              <w:t>开标时间和地点</w:t>
            </w:r>
          </w:p>
        </w:tc>
        <w:tc>
          <w:tcPr>
            <w:tcW w:w="877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cs="宋体"/>
                <w:b/>
                <w:sz w:val="24"/>
                <w:u w:val="single"/>
              </w:rPr>
            </w:pPr>
            <w:r>
              <w:rPr>
                <w:rFonts w:hint="eastAsia" w:ascii="宋体" w:cs="宋体"/>
                <w:b/>
                <w:sz w:val="24"/>
              </w:rPr>
              <w:t>时间：</w:t>
            </w:r>
            <w:r>
              <w:rPr>
                <w:rFonts w:hint="eastAsia" w:ascii="宋体" w:cs="宋体"/>
                <w:b/>
                <w:sz w:val="24"/>
                <w:u w:val="single"/>
              </w:rPr>
              <w:t>202</w:t>
            </w:r>
            <w:r>
              <w:rPr>
                <w:rFonts w:ascii="宋体" w:cs="宋体"/>
                <w:b/>
                <w:sz w:val="24"/>
                <w:u w:val="single"/>
              </w:rPr>
              <w:t>3</w:t>
            </w:r>
            <w:r>
              <w:rPr>
                <w:rFonts w:hint="eastAsia" w:ascii="宋体" w:cs="宋体"/>
                <w:b/>
                <w:sz w:val="24"/>
                <w:u w:val="single"/>
              </w:rPr>
              <w:t>年</w:t>
            </w:r>
            <w:r>
              <w:rPr>
                <w:rFonts w:ascii="宋体" w:cs="宋体"/>
                <w:b/>
                <w:sz w:val="24"/>
                <w:u w:val="single"/>
              </w:rPr>
              <w:t>3</w:t>
            </w:r>
            <w:r>
              <w:rPr>
                <w:rFonts w:hint="eastAsia" w:ascii="宋体" w:cs="宋体"/>
                <w:b/>
                <w:sz w:val="24"/>
                <w:u w:val="single"/>
              </w:rPr>
              <w:t>月2</w:t>
            </w:r>
            <w:r>
              <w:rPr>
                <w:rFonts w:ascii="宋体" w:cs="宋体"/>
                <w:b/>
                <w:sz w:val="24"/>
                <w:u w:val="single"/>
              </w:rPr>
              <w:t>9</w:t>
            </w:r>
            <w:r>
              <w:rPr>
                <w:rFonts w:hint="eastAsia" w:ascii="宋体" w:cs="宋体"/>
                <w:b/>
                <w:sz w:val="24"/>
                <w:u w:val="single"/>
              </w:rPr>
              <w:t xml:space="preserve">日9:30 </w:t>
            </w:r>
          </w:p>
          <w:p>
            <w:pPr>
              <w:spacing w:line="440" w:lineRule="exact"/>
              <w:rPr>
                <w:rFonts w:ascii="宋体" w:cs="宋体"/>
                <w:sz w:val="24"/>
              </w:rPr>
            </w:pPr>
            <w:r>
              <w:rPr>
                <w:rFonts w:hint="eastAsia" w:ascii="宋体" w:cs="宋体"/>
                <w:b/>
                <w:bCs/>
                <w:sz w:val="24"/>
              </w:rPr>
              <w:t>地点：</w:t>
            </w:r>
            <w:r>
              <w:rPr>
                <w:rFonts w:hint="eastAsia" w:ascii="宋体" w:cs="宋体"/>
                <w:b/>
                <w:bCs/>
                <w:sz w:val="24"/>
                <w:u w:val="single"/>
              </w:rPr>
              <w:t>成都市金牛区星辉中路16号星辉大厦十二楼接待室。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86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宋体"/>
                <w:sz w:val="24"/>
              </w:rPr>
            </w:pPr>
            <w:r>
              <w:rPr>
                <w:rFonts w:hint="eastAsia" w:ascii="宋体" w:cs="宋体"/>
                <w:sz w:val="24"/>
              </w:rPr>
              <w:t>评标办法</w:t>
            </w:r>
          </w:p>
        </w:tc>
        <w:tc>
          <w:tcPr>
            <w:tcW w:w="877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cs="宋体"/>
                <w:b/>
                <w:sz w:val="24"/>
              </w:rPr>
            </w:pPr>
            <w:r>
              <w:rPr>
                <w:rFonts w:hint="eastAsia" w:ascii="宋体" w:cs="宋体"/>
                <w:b/>
                <w:sz w:val="24"/>
              </w:rPr>
              <w:t>本次招标将采用综合评审办法进行评审，根据综合评审原则选择中标人，评标规则见投标须知6.2条。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3" w:hRule="atLeast"/>
          <w:jc w:val="center"/>
        </w:trPr>
        <w:tc>
          <w:tcPr>
            <w:tcW w:w="186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宋体"/>
                <w:sz w:val="24"/>
              </w:rPr>
            </w:pPr>
            <w:r>
              <w:rPr>
                <w:rFonts w:hint="eastAsia" w:ascii="宋体" w:cs="宋体"/>
                <w:sz w:val="24"/>
              </w:rPr>
              <w:t>统一答疑时间及地点</w:t>
            </w:r>
          </w:p>
        </w:tc>
        <w:tc>
          <w:tcPr>
            <w:tcW w:w="8771" w:type="dxa"/>
            <w:tcBorders>
              <w:top w:val="single" w:color="auto" w:sz="4" w:space="0"/>
              <w:left w:val="single" w:color="auto" w:sz="4" w:space="0"/>
              <w:bottom w:val="single" w:color="auto" w:sz="4" w:space="0"/>
              <w:right w:val="single" w:color="auto" w:sz="4" w:space="0"/>
            </w:tcBorders>
            <w:noWrap/>
            <w:vAlign w:val="center"/>
          </w:tcPr>
          <w:p>
            <w:pPr>
              <w:pStyle w:val="2"/>
              <w:rPr>
                <w:rFonts w:ascii="宋体" w:cs="宋体"/>
                <w:u w:val="single"/>
              </w:rPr>
            </w:pPr>
            <w:r>
              <w:rPr>
                <w:rFonts w:hint="eastAsia" w:ascii="宋体" w:cs="宋体"/>
              </w:rPr>
              <w:t>时间：</w:t>
            </w:r>
            <w:r>
              <w:rPr>
                <w:rFonts w:hint="eastAsia" w:ascii="宋体" w:cs="宋体"/>
                <w:u w:val="single"/>
              </w:rPr>
              <w:t>202</w:t>
            </w:r>
            <w:r>
              <w:rPr>
                <w:rFonts w:ascii="宋体" w:cs="宋体"/>
                <w:u w:val="single"/>
              </w:rPr>
              <w:t>3</w:t>
            </w:r>
            <w:r>
              <w:rPr>
                <w:rFonts w:hint="eastAsia" w:ascii="宋体" w:cs="宋体"/>
                <w:u w:val="single"/>
              </w:rPr>
              <w:t>年3月</w:t>
            </w:r>
            <w:r>
              <w:rPr>
                <w:rFonts w:ascii="宋体" w:cs="宋体"/>
                <w:u w:val="single"/>
              </w:rPr>
              <w:t>22</w:t>
            </w:r>
            <w:r>
              <w:rPr>
                <w:rFonts w:hint="eastAsia" w:ascii="宋体" w:cs="宋体"/>
                <w:u w:val="single"/>
              </w:rPr>
              <w:t>日9:30-</w:t>
            </w:r>
            <w:r>
              <w:rPr>
                <w:rFonts w:ascii="宋体" w:cs="宋体"/>
                <w:u w:val="single"/>
              </w:rPr>
              <w:t>12</w:t>
            </w:r>
            <w:r>
              <w:rPr>
                <w:rFonts w:hint="eastAsia" w:ascii="宋体" w:cs="宋体"/>
                <w:u w:val="single"/>
              </w:rPr>
              <w:t>:</w:t>
            </w:r>
            <w:r>
              <w:rPr>
                <w:rFonts w:ascii="宋体" w:cs="宋体"/>
                <w:u w:val="single"/>
              </w:rPr>
              <w:t>00</w:t>
            </w:r>
            <w:r>
              <w:rPr>
                <w:rFonts w:hint="eastAsia" w:ascii="宋体" w:cs="宋体"/>
                <w:u w:val="single"/>
              </w:rPr>
              <w:t xml:space="preserve"> </w:t>
            </w:r>
          </w:p>
          <w:p>
            <w:pPr>
              <w:pStyle w:val="2"/>
            </w:pPr>
            <w:r>
              <w:rPr>
                <w:rFonts w:hint="eastAsia" w:ascii="宋体" w:cs="宋体"/>
              </w:rPr>
              <w:t>地点：</w:t>
            </w:r>
            <w:r>
              <w:rPr>
                <w:rFonts w:hint="eastAsia" w:ascii="宋体" w:cs="宋体"/>
                <w:u w:val="single"/>
              </w:rPr>
              <w:t>成都市金牛区星辉中路16号星辉大厦十一楼会议室。</w:t>
            </w:r>
          </w:p>
        </w:tc>
      </w:tr>
    </w:tbl>
    <w:p>
      <w:pPr>
        <w:pStyle w:val="4"/>
        <w:numPr>
          <w:ilvl w:val="0"/>
          <w:numId w:val="0"/>
        </w:numPr>
        <w:spacing w:line="500" w:lineRule="exact"/>
        <w:jc w:val="both"/>
        <w:rPr>
          <w:rFonts w:ascii="宋体" w:eastAsia="宋体" w:cs="宋体"/>
          <w:sz w:val="44"/>
        </w:rPr>
      </w:pPr>
      <w:bookmarkStart w:id="10" w:name="_Toc21628"/>
      <w:bookmarkStart w:id="11" w:name="_Toc1631"/>
      <w:bookmarkStart w:id="12" w:name="_Toc20363"/>
      <w:bookmarkStart w:id="13" w:name="_Toc32199"/>
      <w:bookmarkStart w:id="14" w:name="_Toc15553"/>
      <w:bookmarkStart w:id="15" w:name="_Toc11685"/>
      <w:bookmarkStart w:id="16" w:name="_Toc302376089"/>
      <w:bookmarkStart w:id="17" w:name="_Toc14451"/>
      <w:bookmarkStart w:id="18" w:name="_Toc28044"/>
      <w:bookmarkStart w:id="19" w:name="_Toc18867"/>
    </w:p>
    <w:p/>
    <w:p>
      <w:pPr>
        <w:pStyle w:val="4"/>
        <w:numPr>
          <w:ilvl w:val="0"/>
          <w:numId w:val="0"/>
        </w:numPr>
        <w:spacing w:line="500" w:lineRule="exact"/>
        <w:rPr>
          <w:rFonts w:ascii="宋体" w:eastAsia="宋体" w:cs="宋体"/>
          <w:sz w:val="44"/>
        </w:rPr>
      </w:pPr>
      <w:r>
        <w:rPr>
          <w:rFonts w:hint="eastAsia" w:ascii="宋体" w:eastAsia="宋体" w:cs="宋体"/>
          <w:sz w:val="44"/>
        </w:rPr>
        <w:t>投标须知</w:t>
      </w:r>
      <w:bookmarkEnd w:id="10"/>
      <w:bookmarkEnd w:id="11"/>
      <w:bookmarkEnd w:id="12"/>
      <w:bookmarkEnd w:id="13"/>
      <w:bookmarkEnd w:id="14"/>
      <w:bookmarkEnd w:id="15"/>
      <w:bookmarkEnd w:id="16"/>
      <w:bookmarkEnd w:id="17"/>
      <w:bookmarkEnd w:id="18"/>
      <w:bookmarkEnd w:id="19"/>
      <w:bookmarkStart w:id="20" w:name="_Toc302376090"/>
    </w:p>
    <w:p>
      <w:pPr>
        <w:pStyle w:val="5"/>
        <w:numPr>
          <w:ilvl w:val="0"/>
          <w:numId w:val="0"/>
        </w:numPr>
        <w:spacing w:before="0" w:after="0" w:line="440" w:lineRule="exact"/>
        <w:ind w:firstLine="4457" w:firstLineChars="1850"/>
        <w:jc w:val="both"/>
        <w:rPr>
          <w:rFonts w:ascii="宋体" w:eastAsia="宋体" w:cs="宋体"/>
          <w:sz w:val="24"/>
          <w:szCs w:val="24"/>
        </w:rPr>
      </w:pPr>
      <w:bookmarkStart w:id="21" w:name="_Toc15644"/>
      <w:bookmarkStart w:id="22" w:name="_Toc28016"/>
      <w:bookmarkStart w:id="23" w:name="_Toc24130"/>
      <w:bookmarkStart w:id="24" w:name="_Toc7017"/>
      <w:bookmarkStart w:id="25" w:name="_Toc2144"/>
      <w:bookmarkStart w:id="26" w:name="_Toc431"/>
      <w:bookmarkStart w:id="27" w:name="_Toc17928"/>
      <w:bookmarkStart w:id="28" w:name="_Toc26436"/>
      <w:bookmarkStart w:id="29" w:name="_Toc16103"/>
      <w:r>
        <w:rPr>
          <w:rFonts w:hint="eastAsia" w:ascii="宋体" w:eastAsia="宋体" w:cs="宋体"/>
          <w:sz w:val="24"/>
          <w:szCs w:val="24"/>
        </w:rPr>
        <w:t>一、总则</w:t>
      </w:r>
      <w:bookmarkEnd w:id="20"/>
      <w:bookmarkEnd w:id="21"/>
      <w:bookmarkEnd w:id="22"/>
      <w:bookmarkEnd w:id="23"/>
      <w:bookmarkEnd w:id="24"/>
      <w:bookmarkEnd w:id="25"/>
      <w:bookmarkEnd w:id="26"/>
      <w:bookmarkEnd w:id="27"/>
      <w:bookmarkEnd w:id="28"/>
      <w:bookmarkEnd w:id="29"/>
    </w:p>
    <w:p>
      <w:pPr>
        <w:pStyle w:val="6"/>
        <w:numPr>
          <w:ilvl w:val="0"/>
          <w:numId w:val="3"/>
        </w:numPr>
        <w:spacing w:line="440" w:lineRule="exact"/>
        <w:rPr>
          <w:rFonts w:ascii="宋体" w:eastAsia="宋体" w:cs="宋体"/>
          <w:sz w:val="24"/>
          <w:szCs w:val="24"/>
        </w:rPr>
      </w:pPr>
      <w:r>
        <w:rPr>
          <w:rFonts w:hint="eastAsia" w:ascii="宋体" w:eastAsia="宋体" w:cs="宋体"/>
          <w:sz w:val="24"/>
          <w:szCs w:val="24"/>
        </w:rPr>
        <w:t>招标说明</w:t>
      </w:r>
    </w:p>
    <w:p>
      <w:pPr>
        <w:spacing w:line="440" w:lineRule="exact"/>
        <w:jc w:val="left"/>
        <w:rPr>
          <w:rFonts w:ascii="宋体" w:cs="宋体"/>
          <w:kern w:val="0"/>
          <w:sz w:val="24"/>
        </w:rPr>
      </w:pPr>
      <w:r>
        <w:rPr>
          <w:rFonts w:hint="eastAsia" w:ascii="宋体" w:cs="宋体"/>
          <w:sz w:val="24"/>
        </w:rPr>
        <w:t xml:space="preserve">    1.1 招标背景与目的。因四川省第六建筑有限公司承包的 “成都市南城都汇商住项目第八期汇怡园（地块#</w:t>
      </w:r>
      <w:r>
        <w:rPr>
          <w:rFonts w:ascii="宋体" w:cs="宋体"/>
          <w:sz w:val="24"/>
        </w:rPr>
        <w:t>18</w:t>
      </w:r>
      <w:r>
        <w:rPr>
          <w:rFonts w:hint="eastAsia" w:ascii="宋体" w:cs="宋体"/>
          <w:sz w:val="24"/>
        </w:rPr>
        <w:t>）住宅及商业项目总承包工程”项目</w:t>
      </w:r>
      <w:r>
        <w:rPr>
          <w:rFonts w:hint="eastAsia" w:ascii="宋体" w:cs="宋体"/>
          <w:sz w:val="24"/>
          <w:u w:val="single"/>
        </w:rPr>
        <w:t>法律服务</w:t>
      </w:r>
      <w:r>
        <w:rPr>
          <w:rFonts w:hint="eastAsia" w:ascii="宋体" w:cs="宋体"/>
          <w:sz w:val="24"/>
        </w:rPr>
        <w:t>需求而进行。招标人与中标人之间的权利义务通过书面合同予以明确。</w:t>
      </w:r>
    </w:p>
    <w:p>
      <w:pPr>
        <w:tabs>
          <w:tab w:val="left" w:pos="630"/>
        </w:tabs>
        <w:spacing w:line="440" w:lineRule="exact"/>
        <w:ind w:firstLine="480" w:firstLineChars="200"/>
        <w:rPr>
          <w:rFonts w:ascii="宋体" w:cs="宋体"/>
          <w:sz w:val="24"/>
        </w:rPr>
      </w:pPr>
      <w:r>
        <w:rPr>
          <w:rFonts w:hint="eastAsia" w:ascii="宋体" w:cs="宋体"/>
          <w:sz w:val="24"/>
        </w:rPr>
        <w:t>1.2 投标人须认真阅读本招标文件，并对《投标人须知前附表》及本招标文件招标范围、技术标准和要求、报价方式、合同条款等实质性内容作出实质性响应。</w:t>
      </w:r>
    </w:p>
    <w:p>
      <w:pPr>
        <w:tabs>
          <w:tab w:val="left" w:pos="630"/>
        </w:tabs>
        <w:spacing w:line="440" w:lineRule="exact"/>
        <w:ind w:firstLine="480" w:firstLineChars="200"/>
        <w:rPr>
          <w:rFonts w:ascii="宋体" w:cs="宋体"/>
          <w:sz w:val="24"/>
        </w:rPr>
      </w:pPr>
      <w:r>
        <w:rPr>
          <w:rFonts w:hint="eastAsia" w:ascii="宋体" w:cs="宋体"/>
          <w:sz w:val="24"/>
        </w:rPr>
        <w:t>1.3 中标人应即时关注我司官网发布的中标信息，并于中标信息发布当日起5</w:t>
      </w:r>
      <w:r>
        <w:rPr>
          <w:rFonts w:hint="eastAsia" w:ascii="宋体" w:cs="宋体"/>
          <w:b/>
          <w:sz w:val="24"/>
          <w:u w:val="single"/>
        </w:rPr>
        <w:t>个工作日内</w:t>
      </w:r>
      <w:r>
        <w:rPr>
          <w:rFonts w:hint="eastAsia" w:ascii="宋体" w:cs="宋体"/>
          <w:sz w:val="24"/>
        </w:rPr>
        <w:t>按本招标文件要求签订书面合同。</w:t>
      </w:r>
    </w:p>
    <w:p>
      <w:pPr>
        <w:tabs>
          <w:tab w:val="left" w:pos="630"/>
        </w:tabs>
        <w:spacing w:line="440" w:lineRule="exact"/>
        <w:ind w:firstLine="480" w:firstLineChars="200"/>
        <w:rPr>
          <w:rFonts w:ascii="宋体" w:cs="宋体"/>
          <w:sz w:val="24"/>
        </w:rPr>
      </w:pPr>
      <w:r>
        <w:rPr>
          <w:rFonts w:hint="eastAsia" w:ascii="宋体" w:cs="宋体"/>
          <w:sz w:val="24"/>
        </w:rPr>
        <w:t>1.4 投标文件一经递交即表明投标者已充分理解招标文件的全部内容；一旦中标，其投标文件中承诺的条款即成为双方签订合同的组成部分。</w:t>
      </w:r>
    </w:p>
    <w:p>
      <w:pPr>
        <w:spacing w:line="440" w:lineRule="exact"/>
        <w:ind w:firstLine="480" w:firstLineChars="200"/>
        <w:rPr>
          <w:rFonts w:ascii="宋体" w:cs="宋体"/>
          <w:bCs/>
          <w:sz w:val="24"/>
        </w:rPr>
      </w:pPr>
      <w:r>
        <w:rPr>
          <w:rFonts w:hint="eastAsia" w:ascii="宋体" w:cs="宋体"/>
          <w:bCs/>
          <w:sz w:val="24"/>
        </w:rPr>
        <w:t>1.5 投标人应已熟知本次招标的背景与目的，自愿做出投标行为，并愿意接受招标文件提出的各项要求。</w:t>
      </w:r>
    </w:p>
    <w:p>
      <w:pPr>
        <w:spacing w:line="440" w:lineRule="exact"/>
        <w:rPr>
          <w:rFonts w:ascii="宋体" w:cs="宋体"/>
          <w:bCs/>
          <w:sz w:val="24"/>
        </w:rPr>
      </w:pPr>
    </w:p>
    <w:p>
      <w:pPr>
        <w:pStyle w:val="5"/>
        <w:numPr>
          <w:ilvl w:val="0"/>
          <w:numId w:val="4"/>
        </w:numPr>
        <w:spacing w:before="0" w:after="0" w:line="440" w:lineRule="exact"/>
        <w:jc w:val="center"/>
        <w:rPr>
          <w:rFonts w:ascii="宋体" w:eastAsia="宋体" w:cs="宋体"/>
          <w:sz w:val="24"/>
          <w:szCs w:val="24"/>
        </w:rPr>
      </w:pPr>
      <w:bookmarkStart w:id="30" w:name="_Toc15724"/>
      <w:bookmarkStart w:id="31" w:name="_Toc19476"/>
      <w:r>
        <w:rPr>
          <w:rFonts w:hint="eastAsia" w:ascii="宋体" w:eastAsia="宋体" w:cs="宋体"/>
          <w:sz w:val="24"/>
          <w:szCs w:val="24"/>
        </w:rPr>
        <w:t>服务要求</w:t>
      </w:r>
      <w:bookmarkEnd w:id="30"/>
      <w:bookmarkEnd w:id="31"/>
    </w:p>
    <w:p>
      <w:pPr>
        <w:spacing w:line="440" w:lineRule="exact"/>
        <w:rPr>
          <w:rFonts w:ascii="宋体" w:cs="宋体"/>
          <w:b/>
          <w:bCs/>
          <w:sz w:val="24"/>
        </w:rPr>
      </w:pPr>
      <w:r>
        <w:rPr>
          <w:rFonts w:hint="eastAsia" w:ascii="宋体" w:cs="宋体"/>
          <w:b/>
          <w:bCs/>
          <w:sz w:val="24"/>
        </w:rPr>
        <w:t>2.1项目服务对象介绍</w:t>
      </w:r>
    </w:p>
    <w:p>
      <w:pPr>
        <w:spacing w:line="440" w:lineRule="exact"/>
        <w:ind w:firstLine="480" w:firstLineChars="200"/>
        <w:rPr>
          <w:rFonts w:ascii="宋体" w:cs="宋体"/>
          <w:sz w:val="24"/>
        </w:rPr>
      </w:pPr>
      <w:r>
        <w:rPr>
          <w:rFonts w:hint="eastAsia" w:ascii="宋体" w:cs="宋体"/>
          <w:sz w:val="24"/>
        </w:rPr>
        <w:t>服务对象为四川省第六建筑有限公司（以下简称招标人）。</w:t>
      </w:r>
    </w:p>
    <w:p>
      <w:pPr>
        <w:spacing w:line="440" w:lineRule="exact"/>
        <w:rPr>
          <w:rFonts w:ascii="宋体" w:cs="宋体"/>
          <w:b/>
          <w:sz w:val="24"/>
        </w:rPr>
      </w:pPr>
      <w:r>
        <w:rPr>
          <w:rFonts w:hint="eastAsia" w:ascii="宋体" w:cs="宋体"/>
          <w:b/>
          <w:bCs/>
          <w:sz w:val="24"/>
        </w:rPr>
        <w:t>2.2</w:t>
      </w:r>
      <w:r>
        <w:rPr>
          <w:rFonts w:hint="eastAsia" w:ascii="宋体" w:cs="宋体"/>
          <w:b/>
          <w:sz w:val="24"/>
        </w:rPr>
        <w:t>服务要求</w:t>
      </w:r>
    </w:p>
    <w:p>
      <w:pPr>
        <w:autoSpaceDE w:val="0"/>
        <w:autoSpaceDN w:val="0"/>
        <w:adjustRightInd w:val="0"/>
        <w:snapToGrid w:val="0"/>
        <w:spacing w:line="560" w:lineRule="exact"/>
        <w:ind w:firstLine="480" w:firstLineChars="200"/>
        <w:rPr>
          <w:rFonts w:ascii="宋体" w:cs="宋体"/>
          <w:sz w:val="24"/>
        </w:rPr>
      </w:pPr>
      <w:r>
        <w:rPr>
          <w:rFonts w:hint="eastAsia" w:ascii="宋体" w:cs="宋体"/>
          <w:sz w:val="24"/>
        </w:rPr>
        <w:t>2.2.1投标人指派的律师代理的同类案件且标的金额不少于3</w:t>
      </w:r>
      <w:r>
        <w:rPr>
          <w:rFonts w:ascii="宋体" w:cs="宋体"/>
          <w:sz w:val="24"/>
        </w:rPr>
        <w:t>000</w:t>
      </w:r>
      <w:r>
        <w:rPr>
          <w:rFonts w:hint="eastAsia" w:ascii="宋体" w:cs="宋体"/>
          <w:sz w:val="24"/>
        </w:rPr>
        <w:t>万的应不少于5件；</w:t>
      </w:r>
    </w:p>
    <w:p>
      <w:pPr>
        <w:spacing w:line="480" w:lineRule="exact"/>
        <w:ind w:firstLine="480" w:firstLineChars="200"/>
        <w:rPr>
          <w:rFonts w:ascii="宋体" w:cs="宋体"/>
          <w:sz w:val="24"/>
        </w:rPr>
      </w:pPr>
      <w:r>
        <w:rPr>
          <w:rFonts w:hint="eastAsia" w:ascii="宋体" w:cs="宋体"/>
          <w:sz w:val="24"/>
        </w:rPr>
        <w:t>2.2.2投标人指派的代理律师应积极跟进案件，主动、及时向公司汇报情况，并主动提出解决方案；</w:t>
      </w:r>
    </w:p>
    <w:p>
      <w:pPr>
        <w:spacing w:line="480" w:lineRule="exact"/>
        <w:ind w:firstLine="480" w:firstLineChars="200"/>
        <w:rPr>
          <w:rFonts w:ascii="宋体" w:cs="宋体"/>
          <w:sz w:val="24"/>
        </w:rPr>
      </w:pPr>
      <w:r>
        <w:rPr>
          <w:rFonts w:hint="eastAsia" w:ascii="宋体" w:cs="宋体"/>
          <w:sz w:val="24"/>
        </w:rPr>
        <w:t>2.2.3自合同签订之日起半个月内计算、确定起诉金额并启动司法程序，案件受理后24个月内实现案件目标；</w:t>
      </w:r>
    </w:p>
    <w:p>
      <w:pPr>
        <w:spacing w:line="480" w:lineRule="exact"/>
        <w:ind w:firstLine="480" w:firstLineChars="200"/>
        <w:rPr>
          <w:rFonts w:ascii="宋体" w:cs="宋体"/>
          <w:sz w:val="24"/>
        </w:rPr>
      </w:pPr>
      <w:r>
        <w:rPr>
          <w:rFonts w:hint="eastAsia" w:ascii="宋体" w:cs="宋体"/>
          <w:sz w:val="24"/>
        </w:rPr>
        <w:t>2.2.4法院文书等资料原件需至少交一份给招标人留存。</w:t>
      </w:r>
    </w:p>
    <w:p>
      <w:pPr>
        <w:spacing w:line="440" w:lineRule="exact"/>
        <w:rPr>
          <w:rFonts w:ascii="宋体" w:cs="宋体"/>
          <w:b/>
          <w:bCs/>
          <w:sz w:val="24"/>
        </w:rPr>
      </w:pPr>
      <w:r>
        <w:rPr>
          <w:rFonts w:hint="eastAsia" w:ascii="宋体" w:cs="宋体"/>
          <w:b/>
          <w:bCs/>
          <w:sz w:val="24"/>
        </w:rPr>
        <w:t>2.3代理模式和取费标准：</w:t>
      </w:r>
    </w:p>
    <w:p>
      <w:pPr>
        <w:spacing w:line="480" w:lineRule="exact"/>
        <w:ind w:left="601"/>
        <w:rPr>
          <w:rFonts w:ascii="宋体" w:cs="宋体"/>
          <w:b/>
          <w:bCs/>
          <w:sz w:val="24"/>
        </w:rPr>
      </w:pPr>
      <w:r>
        <w:rPr>
          <w:rFonts w:hint="eastAsia" w:ascii="宋体" w:cs="宋体"/>
          <w:sz w:val="24"/>
        </w:rPr>
        <w:t>2.3.1代理模式：</w:t>
      </w:r>
      <w:r>
        <w:rPr>
          <w:rFonts w:hint="eastAsia" w:ascii="宋体" w:cs="宋体"/>
          <w:b/>
          <w:bCs/>
          <w:sz w:val="24"/>
        </w:rPr>
        <w:t>全风险代理方式</w:t>
      </w:r>
    </w:p>
    <w:p>
      <w:pPr>
        <w:spacing w:line="480" w:lineRule="exact"/>
        <w:ind w:left="601"/>
        <w:rPr>
          <w:rFonts w:ascii="宋体" w:cs="宋体"/>
          <w:sz w:val="24"/>
        </w:rPr>
      </w:pPr>
      <w:r>
        <w:rPr>
          <w:rFonts w:hint="eastAsia" w:ascii="宋体" w:cs="宋体"/>
          <w:sz w:val="24"/>
        </w:rPr>
        <w:t>2.3.2计费标准及方式：</w:t>
      </w:r>
    </w:p>
    <w:p>
      <w:pPr>
        <w:pStyle w:val="2"/>
        <w:rPr>
          <w:rFonts w:ascii="宋体" w:hAnsi="宋体" w:eastAsia="宋体" w:cs="宋体"/>
        </w:rPr>
      </w:pPr>
      <w:r>
        <w:rPr>
          <w:rFonts w:hint="eastAsia" w:ascii="宋体" w:hAnsi="宋体" w:eastAsia="宋体" w:cs="宋体"/>
        </w:rPr>
        <w:t>（</w:t>
      </w:r>
      <w:r>
        <w:rPr>
          <w:rFonts w:ascii="宋体" w:hAnsi="宋体" w:eastAsia="宋体" w:cs="宋体"/>
        </w:rPr>
        <w:t>1</w:t>
      </w:r>
      <w:r>
        <w:rPr>
          <w:rFonts w:hint="eastAsia" w:ascii="宋体" w:hAnsi="宋体" w:eastAsia="宋体" w:cs="宋体"/>
        </w:rPr>
        <w:t>）现金方式回收的：本金部分不超过0.6%，利息及其他部分不超过3%；</w:t>
      </w:r>
    </w:p>
    <w:p>
      <w:pPr>
        <w:widowControl/>
        <w:spacing w:line="560" w:lineRule="exact"/>
        <w:jc w:val="left"/>
        <w:rPr>
          <w:rFonts w:ascii="宋体" w:hAnsi="宋体" w:cs="宋体"/>
          <w:b/>
          <w:bCs/>
          <w:sz w:val="24"/>
        </w:rPr>
      </w:pPr>
      <w:r>
        <w:rPr>
          <w:rFonts w:hint="eastAsia" w:ascii="宋体" w:hAnsi="宋体" w:cs="宋体"/>
          <w:b/>
          <w:kern w:val="0"/>
          <w:sz w:val="24"/>
        </w:rPr>
        <w:t>（2）以调解或和解结案的：</w:t>
      </w:r>
      <w:bookmarkStart w:id="32" w:name="_Hlk127176282"/>
      <w:r>
        <w:rPr>
          <w:rFonts w:hint="eastAsia" w:ascii="宋体" w:hAnsi="宋体" w:cs="宋体"/>
          <w:b/>
          <w:bCs/>
          <w:sz w:val="24"/>
        </w:rPr>
        <w:t>不论是否开庭，招标人通过调解、和解方式回款的，代理费按照中标价20%的比例收取；</w:t>
      </w:r>
      <w:bookmarkEnd w:id="32"/>
    </w:p>
    <w:p>
      <w:pPr>
        <w:pStyle w:val="2"/>
        <w:rPr>
          <w:rFonts w:ascii="宋体" w:hAnsi="宋体" w:eastAsia="宋体" w:cs="宋体"/>
        </w:rPr>
      </w:pPr>
      <w:r>
        <w:rPr>
          <w:rFonts w:hint="eastAsia" w:ascii="宋体" w:hAnsi="宋体" w:eastAsia="宋体" w:cs="宋体"/>
        </w:rPr>
        <w:t>（</w:t>
      </w:r>
      <w:r>
        <w:rPr>
          <w:rFonts w:ascii="宋体" w:hAnsi="宋体" w:eastAsia="宋体" w:cs="宋体"/>
        </w:rPr>
        <w:t>3</w:t>
      </w:r>
      <w:r>
        <w:rPr>
          <w:rFonts w:hint="eastAsia" w:ascii="宋体" w:hAnsi="宋体" w:eastAsia="宋体" w:cs="宋体"/>
        </w:rPr>
        <w:t>）以物抵债方式回收的：在现金回收报价费率基础上打7折；</w:t>
      </w:r>
    </w:p>
    <w:p>
      <w:pPr>
        <w:spacing w:line="440" w:lineRule="exact"/>
        <w:rPr>
          <w:rFonts w:ascii="宋体" w:cs="宋体"/>
          <w:b/>
          <w:bCs/>
          <w:kern w:val="0"/>
          <w:position w:val="1"/>
          <w:sz w:val="24"/>
        </w:rPr>
      </w:pPr>
      <w:r>
        <w:rPr>
          <w:rFonts w:hint="eastAsia" w:ascii="宋体" w:cs="宋体"/>
          <w:b/>
          <w:bCs/>
          <w:sz w:val="24"/>
        </w:rPr>
        <w:t>2.4</w:t>
      </w:r>
      <w:r>
        <w:rPr>
          <w:rFonts w:hint="eastAsia" w:ascii="宋体" w:cs="宋体"/>
          <w:b/>
          <w:bCs/>
          <w:kern w:val="0"/>
          <w:position w:val="1"/>
          <w:sz w:val="24"/>
        </w:rPr>
        <w:t>投标书无效，取消本次投标资格及废标的情形：</w:t>
      </w:r>
    </w:p>
    <w:p>
      <w:pPr>
        <w:spacing w:line="480" w:lineRule="exact"/>
        <w:ind w:left="601"/>
        <w:rPr>
          <w:rFonts w:ascii="宋体" w:cs="宋体"/>
          <w:sz w:val="24"/>
        </w:rPr>
      </w:pPr>
      <w:r>
        <w:rPr>
          <w:rFonts w:hint="eastAsia" w:ascii="宋体" w:cs="宋体"/>
          <w:sz w:val="24"/>
        </w:rPr>
        <w:t>2.4.1提供的有关资格资质证明文件不真实的。</w:t>
      </w:r>
    </w:p>
    <w:p>
      <w:pPr>
        <w:spacing w:line="480" w:lineRule="exact"/>
        <w:ind w:left="601"/>
        <w:rPr>
          <w:rFonts w:ascii="宋体" w:cs="宋体"/>
          <w:sz w:val="24"/>
        </w:rPr>
      </w:pPr>
      <w:r>
        <w:rPr>
          <w:rFonts w:hint="eastAsia" w:ascii="宋体" w:cs="宋体"/>
          <w:sz w:val="24"/>
        </w:rPr>
        <w:t>2.4.2对招标文件的实质性要求和条件未做出全面响应的。</w:t>
      </w:r>
    </w:p>
    <w:p>
      <w:pPr>
        <w:spacing w:line="480" w:lineRule="exact"/>
        <w:ind w:left="601"/>
        <w:rPr>
          <w:rFonts w:ascii="宋体" w:cs="宋体"/>
          <w:sz w:val="24"/>
        </w:rPr>
      </w:pPr>
      <w:r>
        <w:rPr>
          <w:rFonts w:hint="eastAsia" w:ascii="宋体" w:cs="宋体"/>
          <w:sz w:val="24"/>
        </w:rPr>
        <w:t>2.4.3未密封和加盖单位公章的。</w:t>
      </w:r>
    </w:p>
    <w:p>
      <w:pPr>
        <w:spacing w:line="480" w:lineRule="exact"/>
        <w:ind w:left="601"/>
        <w:rPr>
          <w:rFonts w:ascii="宋体" w:cs="宋体"/>
          <w:sz w:val="24"/>
        </w:rPr>
      </w:pPr>
      <w:r>
        <w:rPr>
          <w:rFonts w:hint="eastAsia" w:ascii="宋体" w:cs="宋体"/>
          <w:sz w:val="24"/>
        </w:rPr>
        <w:t>2.4.4逾期送达或者未送达指定地点的。</w:t>
      </w:r>
    </w:p>
    <w:p>
      <w:pPr>
        <w:spacing w:line="480" w:lineRule="exact"/>
        <w:ind w:left="601"/>
        <w:rPr>
          <w:rFonts w:ascii="宋体" w:cs="宋体"/>
          <w:sz w:val="24"/>
        </w:rPr>
      </w:pPr>
      <w:r>
        <w:rPr>
          <w:rFonts w:hint="eastAsia" w:ascii="宋体" w:cs="宋体"/>
          <w:sz w:val="24"/>
        </w:rPr>
        <w:t>2.4.5未按招标文件要求交纳投标保证金。</w:t>
      </w:r>
    </w:p>
    <w:p>
      <w:pPr>
        <w:spacing w:line="480" w:lineRule="exact"/>
        <w:ind w:left="601"/>
        <w:rPr>
          <w:rFonts w:ascii="宋体" w:cs="宋体"/>
          <w:sz w:val="24"/>
        </w:rPr>
      </w:pPr>
      <w:r>
        <w:rPr>
          <w:rFonts w:hint="eastAsia" w:ascii="宋体" w:cs="宋体"/>
          <w:sz w:val="24"/>
        </w:rPr>
        <w:t>2.4.6违反法律法规和《四川华西集团有限公司中介机构选聘管理试行办法》禁止性规</w:t>
      </w:r>
    </w:p>
    <w:p>
      <w:pPr>
        <w:spacing w:line="480" w:lineRule="exact"/>
        <w:rPr>
          <w:rFonts w:ascii="宋体" w:cs="宋体"/>
          <w:sz w:val="24"/>
        </w:rPr>
      </w:pPr>
      <w:r>
        <w:rPr>
          <w:rFonts w:hint="eastAsia" w:ascii="宋体" w:cs="宋体"/>
          <w:sz w:val="24"/>
        </w:rPr>
        <w:t>定的。</w:t>
      </w:r>
    </w:p>
    <w:p>
      <w:pPr>
        <w:spacing w:line="480" w:lineRule="exact"/>
        <w:ind w:left="601"/>
        <w:rPr>
          <w:rFonts w:ascii="宋体" w:cs="宋体"/>
          <w:sz w:val="24"/>
        </w:rPr>
      </w:pPr>
      <w:r>
        <w:rPr>
          <w:rFonts w:hint="eastAsia" w:ascii="宋体" w:cs="宋体"/>
          <w:sz w:val="24"/>
        </w:rPr>
        <w:t>2.4.7 未经招标人许可，投标人在报纸、微博、微信、网站等媒介上发布招标人关于法</w:t>
      </w:r>
    </w:p>
    <w:p>
      <w:pPr>
        <w:spacing w:line="480" w:lineRule="exact"/>
        <w:rPr>
          <w:rFonts w:ascii="宋体" w:cs="宋体"/>
          <w:sz w:val="24"/>
        </w:rPr>
      </w:pPr>
      <w:r>
        <w:rPr>
          <w:rFonts w:hint="eastAsia" w:ascii="宋体" w:cs="宋体"/>
          <w:sz w:val="24"/>
        </w:rPr>
        <w:t>律服务招标、中标、案件情况以及与案件有关的信息。</w:t>
      </w:r>
    </w:p>
    <w:p>
      <w:pPr>
        <w:spacing w:line="440" w:lineRule="exact"/>
        <w:rPr>
          <w:rFonts w:ascii="宋体" w:cs="宋体"/>
          <w:b/>
          <w:bCs/>
          <w:sz w:val="24"/>
        </w:rPr>
      </w:pPr>
      <w:r>
        <w:rPr>
          <w:rFonts w:hint="eastAsia" w:ascii="宋体" w:cs="宋体"/>
          <w:b/>
          <w:bCs/>
          <w:sz w:val="24"/>
        </w:rPr>
        <w:t>2.5. 特别说明：</w:t>
      </w:r>
    </w:p>
    <w:p>
      <w:pPr>
        <w:spacing w:line="480" w:lineRule="exact"/>
        <w:ind w:firstLine="600" w:firstLineChars="250"/>
        <w:rPr>
          <w:rFonts w:ascii="宋体" w:cs="宋体"/>
          <w:sz w:val="24"/>
        </w:rPr>
      </w:pPr>
      <w:r>
        <w:rPr>
          <w:rFonts w:hint="eastAsia" w:ascii="宋体" w:cs="宋体"/>
          <w:sz w:val="24"/>
        </w:rPr>
        <w:t>2.5.1本次委托代理采用全风险代理方式，投标人应当认真分析案情，并根据自己的分析和报送的代理方案进行报价。</w:t>
      </w:r>
    </w:p>
    <w:p>
      <w:pPr>
        <w:spacing w:line="480" w:lineRule="exact"/>
        <w:ind w:left="601"/>
        <w:rPr>
          <w:rFonts w:ascii="宋体" w:cs="宋体"/>
          <w:sz w:val="24"/>
        </w:rPr>
      </w:pPr>
      <w:r>
        <w:rPr>
          <w:rFonts w:hint="eastAsia" w:ascii="宋体" w:cs="宋体"/>
          <w:sz w:val="24"/>
        </w:rPr>
        <w:t>2.5.2本次招标采用综合评分择优录取，不采用最低价中标方式。</w:t>
      </w:r>
    </w:p>
    <w:p>
      <w:pPr>
        <w:spacing w:line="480" w:lineRule="exact"/>
        <w:ind w:firstLine="600" w:firstLineChars="250"/>
        <w:rPr>
          <w:rFonts w:ascii="宋体" w:cs="宋体"/>
          <w:kern w:val="0"/>
          <w:sz w:val="24"/>
        </w:rPr>
      </w:pPr>
      <w:r>
        <w:rPr>
          <w:rFonts w:hint="eastAsia" w:ascii="宋体" w:cs="宋体"/>
          <w:sz w:val="24"/>
        </w:rPr>
        <w:t>2.5.3本次服务为全过程服务，自委托合同签订至债权回收完毕。</w:t>
      </w:r>
      <w:r>
        <w:rPr>
          <w:rFonts w:hint="eastAsia" w:ascii="宋体" w:cs="宋体"/>
          <w:kern w:val="0"/>
          <w:sz w:val="24"/>
        </w:rPr>
        <w:t>本次委托代理范围包括但不限于仲裁、诉讼（含反诉）一审、二审、 保全、执行、破产程序、和解、调解以及与案件相关的执行异议案件等所有程序。</w:t>
      </w:r>
    </w:p>
    <w:p>
      <w:pPr>
        <w:pStyle w:val="5"/>
        <w:numPr>
          <w:ilvl w:val="0"/>
          <w:numId w:val="4"/>
        </w:numPr>
        <w:spacing w:before="0" w:after="0" w:line="440" w:lineRule="exact"/>
        <w:jc w:val="center"/>
        <w:rPr>
          <w:rFonts w:ascii="宋体" w:eastAsia="宋体" w:cs="宋体"/>
          <w:sz w:val="24"/>
          <w:szCs w:val="24"/>
        </w:rPr>
      </w:pPr>
      <w:bookmarkStart w:id="33" w:name="_Toc31768"/>
      <w:bookmarkStart w:id="34" w:name="_Toc25545"/>
      <w:r>
        <w:rPr>
          <w:rFonts w:hint="eastAsia" w:ascii="宋体" w:eastAsia="宋体" w:cs="宋体"/>
          <w:sz w:val="24"/>
          <w:szCs w:val="24"/>
        </w:rPr>
        <w:t>投标文件</w:t>
      </w:r>
      <w:bookmarkEnd w:id="33"/>
      <w:bookmarkEnd w:id="34"/>
    </w:p>
    <w:p>
      <w:pPr>
        <w:spacing w:line="440" w:lineRule="exact"/>
        <w:ind w:firstLine="480" w:firstLineChars="200"/>
        <w:rPr>
          <w:rFonts w:ascii="宋体" w:cs="宋体"/>
          <w:sz w:val="24"/>
        </w:rPr>
      </w:pPr>
      <w:r>
        <w:rPr>
          <w:rFonts w:hint="eastAsia" w:ascii="宋体" w:cs="宋体"/>
          <w:sz w:val="24"/>
        </w:rPr>
        <w:t>投标文件格式内容，按照本招标文件第八条“投标文件格式”要求装订成册，一式六套，密封递交。</w:t>
      </w:r>
    </w:p>
    <w:p>
      <w:pPr>
        <w:pStyle w:val="5"/>
        <w:numPr>
          <w:ilvl w:val="0"/>
          <w:numId w:val="4"/>
        </w:numPr>
        <w:spacing w:before="0" w:after="0" w:line="440" w:lineRule="exact"/>
        <w:jc w:val="center"/>
        <w:rPr>
          <w:rFonts w:ascii="宋体" w:eastAsia="宋体" w:cs="宋体"/>
          <w:sz w:val="24"/>
        </w:rPr>
      </w:pPr>
      <w:bookmarkStart w:id="35" w:name="_Toc24070"/>
      <w:bookmarkStart w:id="36" w:name="_Toc21690"/>
      <w:bookmarkStart w:id="37" w:name="_Toc11561"/>
      <w:bookmarkStart w:id="38" w:name="_Toc32501"/>
      <w:bookmarkStart w:id="39" w:name="_Toc4606"/>
      <w:bookmarkStart w:id="40" w:name="_Toc12455"/>
      <w:bookmarkStart w:id="41" w:name="_Toc30011"/>
      <w:bookmarkStart w:id="42" w:name="_Toc302376093"/>
      <w:bookmarkStart w:id="43" w:name="_Toc7058"/>
      <w:bookmarkStart w:id="44" w:name="_Toc9944"/>
      <w:r>
        <w:rPr>
          <w:rFonts w:hint="eastAsia" w:ascii="宋体" w:eastAsia="宋体" w:cs="宋体"/>
          <w:sz w:val="24"/>
          <w:szCs w:val="24"/>
        </w:rPr>
        <w:t>投标</w:t>
      </w:r>
      <w:bookmarkStart w:id="45" w:name="_Toc123460586"/>
      <w:r>
        <w:rPr>
          <w:rFonts w:hint="eastAsia" w:ascii="宋体" w:eastAsia="宋体" w:cs="宋体"/>
          <w:sz w:val="24"/>
          <w:szCs w:val="24"/>
        </w:rPr>
        <w:t>文件的提交</w:t>
      </w:r>
      <w:bookmarkEnd w:id="35"/>
      <w:bookmarkEnd w:id="36"/>
      <w:bookmarkEnd w:id="37"/>
      <w:bookmarkEnd w:id="38"/>
      <w:bookmarkEnd w:id="39"/>
      <w:bookmarkEnd w:id="40"/>
      <w:bookmarkEnd w:id="41"/>
      <w:bookmarkEnd w:id="42"/>
      <w:bookmarkEnd w:id="43"/>
      <w:bookmarkEnd w:id="44"/>
    </w:p>
    <w:bookmarkEnd w:id="45"/>
    <w:p>
      <w:pPr>
        <w:pStyle w:val="17"/>
        <w:spacing w:line="520" w:lineRule="exact"/>
        <w:ind w:left="113" w:leftChars="54" w:firstLine="504" w:firstLineChars="210"/>
        <w:rPr>
          <w:rFonts w:ascii="宋体" w:cs="宋体"/>
          <w:b/>
          <w:bCs/>
          <w:sz w:val="24"/>
          <w:szCs w:val="22"/>
        </w:rPr>
      </w:pPr>
      <w:r>
        <w:rPr>
          <w:rFonts w:hint="eastAsia" w:ascii="宋体" w:cs="宋体"/>
          <w:sz w:val="24"/>
        </w:rPr>
        <w:t>投标文件提交截止时间：</w:t>
      </w:r>
      <w:r>
        <w:rPr>
          <w:rFonts w:hint="eastAsia" w:ascii="宋体" w:cs="宋体"/>
          <w:sz w:val="24"/>
          <w:u w:val="single"/>
        </w:rPr>
        <w:t xml:space="preserve"> 202</w:t>
      </w:r>
      <w:r>
        <w:rPr>
          <w:rFonts w:ascii="宋体" w:cs="宋体"/>
          <w:sz w:val="24"/>
          <w:u w:val="single"/>
        </w:rPr>
        <w:t>3</w:t>
      </w:r>
      <w:r>
        <w:rPr>
          <w:rFonts w:hint="eastAsia" w:ascii="宋体" w:cs="宋体"/>
          <w:sz w:val="24"/>
          <w:u w:val="single"/>
        </w:rPr>
        <w:t>年</w:t>
      </w:r>
      <w:r>
        <w:rPr>
          <w:rFonts w:ascii="宋体" w:cs="宋体"/>
          <w:sz w:val="24"/>
          <w:u w:val="single"/>
        </w:rPr>
        <w:t>3</w:t>
      </w:r>
      <w:r>
        <w:rPr>
          <w:rFonts w:hint="eastAsia" w:ascii="宋体" w:cs="宋体"/>
          <w:sz w:val="24"/>
          <w:u w:val="single"/>
        </w:rPr>
        <w:t>月2</w:t>
      </w:r>
      <w:r>
        <w:rPr>
          <w:rFonts w:ascii="宋体" w:cs="宋体"/>
          <w:sz w:val="24"/>
          <w:u w:val="single"/>
        </w:rPr>
        <w:t>7</w:t>
      </w:r>
      <w:r>
        <w:rPr>
          <w:rFonts w:hint="eastAsia" w:ascii="宋体" w:cs="宋体"/>
          <w:sz w:val="24"/>
          <w:u w:val="single"/>
        </w:rPr>
        <w:t>日10:00</w:t>
      </w:r>
      <w:r>
        <w:rPr>
          <w:rFonts w:hint="eastAsia" w:ascii="宋体" w:cs="宋体"/>
          <w:sz w:val="24"/>
        </w:rPr>
        <w:t>。密封提交至我公</w:t>
      </w:r>
      <w:r>
        <w:rPr>
          <w:rFonts w:hint="eastAsia" w:ascii="宋体" w:cs="宋体"/>
          <w:sz w:val="24"/>
          <w:szCs w:val="22"/>
        </w:rPr>
        <w:t>司运营管理部，联系人：王国威:</w:t>
      </w:r>
      <w:r>
        <w:rPr>
          <w:rFonts w:ascii="宋体" w:cs="宋体"/>
          <w:sz w:val="24"/>
        </w:rPr>
        <w:t>028-83376380</w:t>
      </w:r>
      <w:r>
        <w:rPr>
          <w:rFonts w:hint="eastAsia" w:ascii="宋体" w:cs="宋体"/>
          <w:sz w:val="24"/>
        </w:rPr>
        <w:t>，13772417013。</w:t>
      </w:r>
      <w:r>
        <w:rPr>
          <w:rFonts w:hint="eastAsia" w:ascii="宋体" w:cs="宋体"/>
          <w:sz w:val="24"/>
          <w:szCs w:val="22"/>
        </w:rPr>
        <w:t>投标文件必须在投标截止时间前送达开标地点。逾期送达或密封和标注不符合招标文件规定的投标文件恕不接受。</w:t>
      </w:r>
      <w:r>
        <w:rPr>
          <w:rFonts w:hint="eastAsia" w:ascii="宋体" w:cs="宋体"/>
          <w:b/>
          <w:bCs/>
          <w:sz w:val="24"/>
          <w:szCs w:val="22"/>
        </w:rPr>
        <w:t>本次招标不接受邮寄的投标文件。</w:t>
      </w:r>
    </w:p>
    <w:p>
      <w:pPr>
        <w:pStyle w:val="5"/>
        <w:numPr>
          <w:ilvl w:val="0"/>
          <w:numId w:val="4"/>
        </w:numPr>
        <w:spacing w:before="0" w:after="0" w:line="440" w:lineRule="exact"/>
        <w:jc w:val="center"/>
        <w:rPr>
          <w:rFonts w:ascii="宋体" w:eastAsia="宋体" w:cs="宋体"/>
          <w:sz w:val="24"/>
          <w:szCs w:val="24"/>
        </w:rPr>
      </w:pPr>
      <w:bookmarkStart w:id="46" w:name="_Toc13154"/>
      <w:bookmarkStart w:id="47" w:name="_Toc11477"/>
      <w:bookmarkStart w:id="48" w:name="_Toc22284"/>
      <w:bookmarkStart w:id="49" w:name="_Toc25608"/>
      <w:bookmarkStart w:id="50" w:name="_Toc302376095"/>
      <w:bookmarkStart w:id="51" w:name="_Toc26065"/>
      <w:bookmarkStart w:id="52" w:name="_Toc982"/>
      <w:bookmarkStart w:id="53" w:name="_Toc1813"/>
      <w:bookmarkStart w:id="54" w:name="_Toc20934"/>
      <w:bookmarkStart w:id="55" w:name="_Toc23238"/>
      <w:r>
        <w:rPr>
          <w:rFonts w:hint="eastAsia" w:ascii="宋体" w:eastAsia="宋体" w:cs="宋体"/>
          <w:sz w:val="24"/>
          <w:szCs w:val="24"/>
        </w:rPr>
        <w:t>开标</w:t>
      </w:r>
      <w:bookmarkEnd w:id="46"/>
      <w:bookmarkEnd w:id="47"/>
      <w:bookmarkEnd w:id="48"/>
      <w:bookmarkEnd w:id="49"/>
      <w:bookmarkEnd w:id="50"/>
      <w:bookmarkEnd w:id="51"/>
      <w:bookmarkEnd w:id="52"/>
      <w:bookmarkEnd w:id="53"/>
      <w:bookmarkEnd w:id="54"/>
      <w:bookmarkEnd w:id="55"/>
    </w:p>
    <w:p>
      <w:pPr>
        <w:spacing w:line="440" w:lineRule="exact"/>
        <w:rPr>
          <w:rFonts w:ascii="宋体" w:cs="宋体"/>
          <w:b/>
          <w:sz w:val="24"/>
        </w:rPr>
      </w:pPr>
      <w:r>
        <w:rPr>
          <w:rFonts w:hint="eastAsia" w:ascii="宋体" w:cs="宋体"/>
          <w:b/>
          <w:sz w:val="24"/>
        </w:rPr>
        <w:t>5.1开标时间和地点</w:t>
      </w:r>
    </w:p>
    <w:p>
      <w:pPr>
        <w:spacing w:line="440" w:lineRule="exact"/>
        <w:ind w:firstLine="240" w:firstLineChars="100"/>
        <w:rPr>
          <w:rFonts w:ascii="宋体" w:cs="宋体"/>
          <w:sz w:val="24"/>
          <w:u w:val="single"/>
        </w:rPr>
      </w:pPr>
      <w:bookmarkStart w:id="56" w:name="_Toc302376096"/>
      <w:bookmarkStart w:id="57" w:name="_Toc27966"/>
      <w:bookmarkStart w:id="58" w:name="_Toc8429"/>
      <w:bookmarkStart w:id="59" w:name="_Toc7236"/>
      <w:bookmarkStart w:id="60" w:name="_Toc26884"/>
      <w:bookmarkStart w:id="61" w:name="_Toc4676"/>
      <w:bookmarkStart w:id="62" w:name="_Toc8318"/>
      <w:bookmarkStart w:id="63" w:name="_Toc16722"/>
      <w:r>
        <w:rPr>
          <w:rFonts w:hint="eastAsia" w:ascii="宋体" w:cs="宋体"/>
          <w:sz w:val="24"/>
        </w:rPr>
        <w:t>时间：</w:t>
      </w:r>
      <w:r>
        <w:rPr>
          <w:rFonts w:hint="eastAsia" w:ascii="宋体" w:cs="宋体"/>
          <w:sz w:val="24"/>
          <w:u w:val="single"/>
        </w:rPr>
        <w:t>20</w:t>
      </w:r>
      <w:r>
        <w:rPr>
          <w:rFonts w:ascii="宋体" w:cs="宋体"/>
          <w:sz w:val="24"/>
          <w:u w:val="single"/>
        </w:rPr>
        <w:t>23</w:t>
      </w:r>
      <w:r>
        <w:rPr>
          <w:rFonts w:hint="eastAsia" w:ascii="宋体" w:cs="宋体"/>
          <w:sz w:val="24"/>
          <w:u w:val="single"/>
        </w:rPr>
        <w:t>年</w:t>
      </w:r>
      <w:r>
        <w:rPr>
          <w:rFonts w:ascii="宋体" w:cs="宋体"/>
          <w:sz w:val="24"/>
          <w:u w:val="single"/>
        </w:rPr>
        <w:t>3</w:t>
      </w:r>
      <w:r>
        <w:rPr>
          <w:rFonts w:hint="eastAsia" w:ascii="宋体" w:cs="宋体"/>
          <w:sz w:val="24"/>
          <w:u w:val="single"/>
        </w:rPr>
        <w:t>月2</w:t>
      </w:r>
      <w:r>
        <w:rPr>
          <w:rFonts w:ascii="宋体" w:cs="宋体"/>
          <w:sz w:val="24"/>
          <w:u w:val="single"/>
        </w:rPr>
        <w:t>9</w:t>
      </w:r>
      <w:r>
        <w:rPr>
          <w:rFonts w:hint="eastAsia" w:ascii="宋体" w:cs="宋体"/>
          <w:sz w:val="24"/>
          <w:u w:val="single"/>
        </w:rPr>
        <w:t>日 9:30。</w:t>
      </w:r>
    </w:p>
    <w:p>
      <w:pPr>
        <w:spacing w:line="440" w:lineRule="exact"/>
        <w:ind w:firstLine="240" w:firstLineChars="100"/>
        <w:rPr>
          <w:rFonts w:ascii="宋体" w:cs="宋体"/>
          <w:sz w:val="24"/>
          <w:u w:val="single"/>
        </w:rPr>
      </w:pPr>
      <w:r>
        <w:rPr>
          <w:rFonts w:hint="eastAsia" w:ascii="宋体" w:cs="宋体"/>
          <w:sz w:val="24"/>
        </w:rPr>
        <w:t>地点：</w:t>
      </w:r>
      <w:r>
        <w:rPr>
          <w:rFonts w:hint="eastAsia" w:ascii="宋体" w:cs="宋体"/>
          <w:sz w:val="24"/>
          <w:u w:val="single"/>
        </w:rPr>
        <w:t>成都市金牛区星辉中路16号星辉大厦十二楼接待室。</w:t>
      </w:r>
    </w:p>
    <w:p>
      <w:pPr>
        <w:spacing w:line="440" w:lineRule="exact"/>
        <w:rPr>
          <w:rFonts w:ascii="宋体" w:cs="宋体"/>
          <w:b/>
          <w:bCs/>
          <w:sz w:val="24"/>
        </w:rPr>
      </w:pPr>
      <w:r>
        <w:rPr>
          <w:rFonts w:hint="eastAsia" w:ascii="宋体" w:cs="宋体"/>
          <w:b/>
          <w:bCs/>
          <w:sz w:val="24"/>
        </w:rPr>
        <w:t>5.2开标流程</w:t>
      </w:r>
    </w:p>
    <w:p>
      <w:pPr>
        <w:spacing w:line="440" w:lineRule="exact"/>
        <w:rPr>
          <w:rFonts w:ascii="宋体" w:cs="宋体"/>
          <w:sz w:val="24"/>
        </w:rPr>
      </w:pPr>
      <w:r>
        <w:rPr>
          <w:rFonts w:hint="eastAsia" w:ascii="宋体" w:cs="宋体"/>
          <w:sz w:val="24"/>
        </w:rPr>
        <w:t>5.2.1唱标</w:t>
      </w:r>
    </w:p>
    <w:p>
      <w:pPr>
        <w:spacing w:line="440" w:lineRule="exact"/>
        <w:rPr>
          <w:rFonts w:ascii="宋体" w:cs="宋体"/>
          <w:sz w:val="24"/>
        </w:rPr>
      </w:pPr>
      <w:r>
        <w:rPr>
          <w:rFonts w:hint="eastAsia" w:ascii="宋体" w:cs="宋体"/>
          <w:sz w:val="24"/>
        </w:rPr>
        <w:t>5.2.2中介机构陈述代理方案（10-15分钟）</w:t>
      </w:r>
    </w:p>
    <w:p>
      <w:pPr>
        <w:pStyle w:val="5"/>
        <w:numPr>
          <w:ilvl w:val="0"/>
          <w:numId w:val="4"/>
        </w:numPr>
        <w:spacing w:before="0" w:after="0" w:line="440" w:lineRule="exact"/>
        <w:jc w:val="center"/>
        <w:rPr>
          <w:rFonts w:ascii="宋体" w:eastAsia="宋体" w:cs="宋体"/>
          <w:sz w:val="24"/>
          <w:szCs w:val="24"/>
        </w:rPr>
      </w:pPr>
      <w:bookmarkStart w:id="64" w:name="_Toc25935"/>
      <w:bookmarkStart w:id="65" w:name="_Toc14889"/>
      <w:r>
        <w:rPr>
          <w:rFonts w:hint="eastAsia" w:ascii="宋体" w:eastAsia="宋体" w:cs="宋体"/>
          <w:sz w:val="24"/>
          <w:szCs w:val="24"/>
        </w:rPr>
        <w:t>评标</w:t>
      </w:r>
      <w:bookmarkEnd w:id="56"/>
      <w:bookmarkEnd w:id="57"/>
      <w:bookmarkEnd w:id="58"/>
      <w:bookmarkEnd w:id="59"/>
      <w:bookmarkEnd w:id="60"/>
      <w:bookmarkEnd w:id="61"/>
      <w:bookmarkEnd w:id="62"/>
      <w:bookmarkEnd w:id="63"/>
      <w:bookmarkEnd w:id="64"/>
      <w:bookmarkEnd w:id="65"/>
      <w:bookmarkStart w:id="66" w:name="_Toc42692516"/>
      <w:bookmarkStart w:id="67" w:name="_Toc123460595"/>
    </w:p>
    <w:p>
      <w:pPr>
        <w:spacing w:line="440" w:lineRule="exact"/>
        <w:rPr>
          <w:rFonts w:ascii="宋体" w:cs="宋体"/>
          <w:sz w:val="24"/>
        </w:rPr>
      </w:pPr>
      <w:r>
        <w:rPr>
          <w:rFonts w:hint="eastAsia" w:ascii="宋体" w:cs="宋体"/>
          <w:b/>
          <w:sz w:val="24"/>
        </w:rPr>
        <w:t>6.1评标小组的组成</w:t>
      </w:r>
    </w:p>
    <w:p>
      <w:pPr>
        <w:pStyle w:val="7"/>
        <w:ind w:firstLine="456" w:firstLineChars="190"/>
        <w:rPr>
          <w:rFonts w:ascii="宋体" w:eastAsia="宋体" w:cs="宋体"/>
          <w:sz w:val="24"/>
          <w:szCs w:val="22"/>
        </w:rPr>
      </w:pPr>
      <w:bookmarkStart w:id="68" w:name="_Toc144974532"/>
      <w:bookmarkStart w:id="69" w:name="_Toc152045564"/>
      <w:bookmarkStart w:id="70" w:name="_Toc271202578"/>
      <w:bookmarkStart w:id="71" w:name="_Toc152042340"/>
      <w:r>
        <w:rPr>
          <w:rFonts w:hint="eastAsia" w:ascii="宋体" w:eastAsia="宋体" w:cs="宋体"/>
          <w:sz w:val="24"/>
          <w:szCs w:val="22"/>
        </w:rPr>
        <w:t>招标人将按照《四川华西集团有限公司中介机构选聘管理试行办法》川华西发【2020】3号要求成立评标小组。评标小组由5名或5名以上单数数量组成。</w:t>
      </w:r>
    </w:p>
    <w:p>
      <w:pPr>
        <w:spacing w:line="440" w:lineRule="exact"/>
        <w:rPr>
          <w:rFonts w:ascii="宋体" w:cs="宋体"/>
          <w:b/>
          <w:sz w:val="24"/>
        </w:rPr>
      </w:pPr>
      <w:r>
        <w:rPr>
          <w:rFonts w:hint="eastAsia" w:ascii="宋体" w:cs="宋体"/>
          <w:b/>
          <w:sz w:val="24"/>
        </w:rPr>
        <w:t>6.2评审表</w:t>
      </w:r>
    </w:p>
    <w:p>
      <w:pPr>
        <w:spacing w:line="440" w:lineRule="exact"/>
        <w:rPr>
          <w:rFonts w:ascii="宋体" w:cs="宋体"/>
          <w:b/>
          <w:bCs/>
          <w:kern w:val="0"/>
          <w:sz w:val="24"/>
        </w:rPr>
      </w:pPr>
      <w:r>
        <w:rPr>
          <w:rFonts w:hint="eastAsia" w:ascii="宋体" w:cs="宋体"/>
          <w:b/>
          <w:sz w:val="24"/>
        </w:rPr>
        <w:t>6.2.1评标小组</w:t>
      </w:r>
      <w:r>
        <w:rPr>
          <w:rFonts w:hint="eastAsia" w:ascii="宋体" w:cs="宋体"/>
          <w:b/>
          <w:bCs/>
          <w:kern w:val="0"/>
          <w:sz w:val="24"/>
        </w:rPr>
        <w:t>评分标准打分表</w:t>
      </w:r>
    </w:p>
    <w:p>
      <w:pPr>
        <w:pStyle w:val="3"/>
        <w:rPr>
          <w:rFonts w:ascii="宋体" w:cs="宋体"/>
          <w:b/>
          <w:bCs/>
          <w:sz w:val="24"/>
        </w:rPr>
      </w:pPr>
    </w:p>
    <w:p>
      <w:pPr>
        <w:pStyle w:val="3"/>
        <w:rPr>
          <w:rFonts w:ascii="宋体" w:cs="宋体"/>
          <w:b/>
          <w:bCs/>
          <w:sz w:val="24"/>
        </w:rPr>
      </w:pPr>
    </w:p>
    <w:p>
      <w:pPr>
        <w:pStyle w:val="3"/>
        <w:rPr>
          <w:rFonts w:ascii="宋体" w:cs="宋体"/>
          <w:b/>
          <w:bCs/>
          <w:sz w:val="24"/>
        </w:rPr>
      </w:pPr>
    </w:p>
    <w:p>
      <w:pPr>
        <w:pStyle w:val="3"/>
        <w:rPr>
          <w:rFonts w:ascii="宋体" w:cs="宋体"/>
          <w:b/>
          <w:bCs/>
          <w:sz w:val="24"/>
        </w:rPr>
      </w:pPr>
    </w:p>
    <w:p>
      <w:pPr>
        <w:pStyle w:val="3"/>
        <w:rPr>
          <w:rFonts w:ascii="宋体" w:cs="宋体"/>
          <w:b/>
          <w:bCs/>
          <w:sz w:val="24"/>
        </w:rPr>
      </w:pPr>
    </w:p>
    <w:p>
      <w:pPr>
        <w:pStyle w:val="3"/>
        <w:rPr>
          <w:rFonts w:ascii="宋体" w:cs="宋体"/>
          <w:b/>
          <w:bCs/>
          <w:sz w:val="24"/>
        </w:rPr>
      </w:pPr>
    </w:p>
    <w:p>
      <w:pPr>
        <w:pStyle w:val="3"/>
        <w:rPr>
          <w:rFonts w:ascii="宋体" w:cs="宋体"/>
          <w:b/>
          <w:bCs/>
          <w:sz w:val="24"/>
        </w:rPr>
      </w:pPr>
    </w:p>
    <w:p>
      <w:pPr>
        <w:pStyle w:val="3"/>
        <w:rPr>
          <w:rFonts w:ascii="宋体" w:cs="宋体"/>
          <w:b/>
          <w:bCs/>
          <w:sz w:val="24"/>
        </w:rPr>
      </w:pPr>
    </w:p>
    <w:p>
      <w:pPr>
        <w:pStyle w:val="3"/>
        <w:rPr>
          <w:rFonts w:ascii="宋体" w:cs="宋体"/>
          <w:b/>
          <w:bCs/>
          <w:sz w:val="24"/>
        </w:rPr>
      </w:pPr>
    </w:p>
    <w:p>
      <w:pPr>
        <w:pStyle w:val="3"/>
        <w:rPr>
          <w:rFonts w:ascii="宋体" w:cs="宋体"/>
          <w:b/>
          <w:bCs/>
          <w:sz w:val="24"/>
        </w:rPr>
      </w:pPr>
    </w:p>
    <w:p>
      <w:pPr>
        <w:pStyle w:val="3"/>
        <w:rPr>
          <w:rFonts w:ascii="宋体" w:cs="宋体"/>
          <w:b/>
          <w:bCs/>
          <w:sz w:val="24"/>
        </w:rPr>
      </w:pPr>
    </w:p>
    <w:p>
      <w:pPr>
        <w:pStyle w:val="3"/>
        <w:rPr>
          <w:rFonts w:ascii="宋体" w:cs="宋体"/>
          <w:b/>
          <w:bCs/>
          <w:sz w:val="24"/>
        </w:rPr>
      </w:pPr>
    </w:p>
    <w:p>
      <w:pPr>
        <w:pStyle w:val="3"/>
        <w:rPr>
          <w:rFonts w:ascii="宋体" w:cs="宋体"/>
          <w:b/>
          <w:bCs/>
          <w:sz w:val="24"/>
        </w:rPr>
      </w:pPr>
    </w:p>
    <w:p>
      <w:pPr>
        <w:pStyle w:val="3"/>
        <w:rPr>
          <w:rFonts w:ascii="宋体" w:cs="宋体"/>
          <w:b/>
          <w:bCs/>
          <w:sz w:val="24"/>
        </w:rPr>
      </w:pPr>
    </w:p>
    <w:p>
      <w:pPr>
        <w:widowControl/>
        <w:jc w:val="center"/>
        <w:rPr>
          <w:rFonts w:ascii="宋体" w:cs="宋体"/>
          <w:b/>
          <w:bCs/>
          <w:kern w:val="0"/>
          <w:sz w:val="24"/>
        </w:rPr>
      </w:pPr>
    </w:p>
    <w:bookmarkEnd w:id="66"/>
    <w:bookmarkEnd w:id="67"/>
    <w:bookmarkEnd w:id="68"/>
    <w:bookmarkEnd w:id="69"/>
    <w:bookmarkEnd w:id="70"/>
    <w:bookmarkEnd w:id="71"/>
    <w:p>
      <w:pPr>
        <w:widowControl/>
        <w:jc w:val="left"/>
        <w:rPr>
          <w:rFonts w:ascii="宋体" w:cs="宋体"/>
          <w:b/>
          <w:bCs/>
          <w:kern w:val="0"/>
          <w:sz w:val="24"/>
        </w:rPr>
      </w:pPr>
      <w:r>
        <w:rPr>
          <w:rFonts w:ascii="宋体" w:cs="宋体"/>
          <w:b/>
          <w:bCs/>
          <w:kern w:val="0"/>
          <w:sz w:val="24"/>
        </w:rPr>
        <w:br w:type="page"/>
      </w:r>
    </w:p>
    <w:p>
      <w:pPr>
        <w:widowControl/>
        <w:jc w:val="center"/>
        <w:rPr>
          <w:rFonts w:ascii="宋体" w:cs="宋体"/>
          <w:b/>
          <w:bCs/>
          <w:kern w:val="0"/>
          <w:sz w:val="24"/>
        </w:rPr>
      </w:pPr>
    </w:p>
    <w:p>
      <w:pPr>
        <w:widowControl/>
        <w:jc w:val="center"/>
        <w:rPr>
          <w:rFonts w:ascii="宋体" w:cs="宋体"/>
          <w:b/>
          <w:bCs/>
          <w:kern w:val="0"/>
          <w:sz w:val="24"/>
        </w:rPr>
      </w:pPr>
      <w:r>
        <w:rPr>
          <w:rFonts w:hint="eastAsia" w:ascii="宋体" w:cs="宋体"/>
          <w:b/>
          <w:bCs/>
          <w:kern w:val="0"/>
          <w:sz w:val="24"/>
        </w:rPr>
        <w:t>专项法律服务评分标准打分表</w:t>
      </w:r>
    </w:p>
    <w:p>
      <w:pPr>
        <w:widowControl/>
        <w:ind w:firstLine="241" w:firstLineChars="100"/>
        <w:jc w:val="left"/>
        <w:rPr>
          <w:rFonts w:ascii="宋体" w:cs="宋体"/>
          <w:b/>
          <w:bCs/>
          <w:kern w:val="0"/>
          <w:sz w:val="24"/>
        </w:rPr>
      </w:pPr>
      <w:r>
        <w:rPr>
          <w:rFonts w:ascii="宋体" w:cs="宋体"/>
          <w:b/>
          <w:bCs/>
          <w:kern w:val="0"/>
          <w:sz w:val="24"/>
        </w:rPr>
        <w:t>评分人：</w:t>
      </w:r>
      <w:r>
        <w:rPr>
          <w:rFonts w:hint="eastAsia" w:ascii="宋体" w:cs="宋体"/>
          <w:b/>
          <w:bCs/>
          <w:kern w:val="0"/>
          <w:sz w:val="24"/>
        </w:rPr>
        <w:t xml:space="preserve">                             投标人：</w:t>
      </w:r>
    </w:p>
    <w:tbl>
      <w:tblPr>
        <w:tblStyle w:val="14"/>
        <w:tblpPr w:leftFromText="180" w:rightFromText="180" w:vertAnchor="text" w:horzAnchor="page" w:tblpX="1083" w:tblpY="31"/>
        <w:tblOverlap w:val="never"/>
        <w:tblW w:w="986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73"/>
        <w:gridCol w:w="1480"/>
        <w:gridCol w:w="2610"/>
        <w:gridCol w:w="3240"/>
        <w:gridCol w:w="825"/>
        <w:gridCol w:w="8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sz w:val="24"/>
              </w:rPr>
            </w:pPr>
            <w:r>
              <w:rPr>
                <w:rFonts w:hint="eastAsia" w:ascii="宋体" w:cs="宋体"/>
                <w:bCs/>
                <w:sz w:val="24"/>
              </w:rPr>
              <w:t>序号</w:t>
            </w:r>
          </w:p>
        </w:tc>
        <w:tc>
          <w:tcPr>
            <w:tcW w:w="7330"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bCs/>
                <w:sz w:val="24"/>
              </w:rPr>
            </w:pPr>
            <w:r>
              <w:rPr>
                <w:rFonts w:hint="eastAsia" w:ascii="宋体" w:cs="宋体"/>
                <w:bCs/>
                <w:sz w:val="24"/>
              </w:rPr>
              <w:t>评分项目（总分100）</w:t>
            </w:r>
          </w:p>
        </w:tc>
        <w:tc>
          <w:tcPr>
            <w:tcW w:w="8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sz w:val="24"/>
              </w:rPr>
            </w:pPr>
            <w:r>
              <w:rPr>
                <w:rFonts w:hint="eastAsia" w:ascii="宋体" w:cs="宋体"/>
                <w:bCs/>
                <w:sz w:val="24"/>
              </w:rPr>
              <w:t>满分</w:t>
            </w:r>
          </w:p>
        </w:tc>
        <w:tc>
          <w:tcPr>
            <w:tcW w:w="84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sz w:val="24"/>
              </w:rPr>
            </w:pPr>
            <w:r>
              <w:rPr>
                <w:rFonts w:hint="eastAsia" w:ascii="宋体" w:cs="宋体"/>
                <w:bCs/>
                <w:sz w:val="24"/>
              </w:rPr>
              <w:t>评选分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6" w:hRule="atLeast"/>
          <w:tblCellSpacing w:w="0" w:type="dxa"/>
        </w:trPr>
        <w:tc>
          <w:tcPr>
            <w:tcW w:w="87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Cs/>
                <w:sz w:val="24"/>
              </w:rPr>
            </w:pPr>
          </w:p>
          <w:p>
            <w:pPr>
              <w:widowControl/>
              <w:jc w:val="center"/>
              <w:rPr>
                <w:rFonts w:ascii="宋体" w:cs="宋体"/>
                <w:bCs/>
                <w:sz w:val="24"/>
              </w:rPr>
            </w:pPr>
          </w:p>
          <w:p>
            <w:pPr>
              <w:widowControl/>
              <w:jc w:val="center"/>
              <w:rPr>
                <w:rFonts w:ascii="宋体" w:cs="宋体"/>
                <w:bCs/>
                <w:sz w:val="24"/>
              </w:rPr>
            </w:pPr>
            <w:r>
              <w:rPr>
                <w:rFonts w:hint="eastAsia" w:ascii="宋体" w:cs="宋体"/>
                <w:bCs/>
                <w:sz w:val="24"/>
              </w:rPr>
              <w:t>1</w:t>
            </w:r>
          </w:p>
          <w:p>
            <w:pPr>
              <w:widowControl/>
              <w:jc w:val="center"/>
              <w:rPr>
                <w:rFonts w:ascii="宋体" w:cs="宋体"/>
                <w:bCs/>
                <w:sz w:val="24"/>
              </w:rPr>
            </w:pPr>
          </w:p>
          <w:p>
            <w:pPr>
              <w:widowControl/>
              <w:jc w:val="center"/>
              <w:rPr>
                <w:rFonts w:ascii="宋体" w:cs="宋体"/>
                <w:bCs/>
                <w:sz w:val="24"/>
              </w:rPr>
            </w:pPr>
          </w:p>
        </w:tc>
        <w:tc>
          <w:tcPr>
            <w:tcW w:w="14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sz w:val="24"/>
              </w:rPr>
            </w:pPr>
            <w:r>
              <w:rPr>
                <w:rFonts w:hint="eastAsia" w:ascii="宋体" w:cs="宋体"/>
                <w:b/>
                <w:bCs/>
                <w:sz w:val="24"/>
              </w:rPr>
              <w:t>案件法律分析</w:t>
            </w:r>
          </w:p>
        </w:tc>
        <w:tc>
          <w:tcPr>
            <w:tcW w:w="261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bCs/>
                <w:sz w:val="24"/>
              </w:rPr>
            </w:pPr>
            <w:r>
              <w:rPr>
                <w:rFonts w:hint="eastAsia" w:ascii="宋体" w:cs="宋体"/>
                <w:bCs/>
                <w:sz w:val="24"/>
              </w:rPr>
              <w:t>权利、义务、责任分析及案件风险分析清晰、专业；争议焦点归纳准确科学；案件结果预判专业，有说服力</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cs="宋体"/>
                <w:bCs/>
                <w:sz w:val="24"/>
              </w:rPr>
            </w:pPr>
            <w:r>
              <w:rPr>
                <w:rFonts w:hint="eastAsia" w:ascii="宋体" w:cs="宋体"/>
                <w:bCs/>
                <w:sz w:val="24"/>
              </w:rPr>
              <w:t>案件分析清晰专业；争议焦点归纳准确科学；案件结果预判合理有说服力（10-20分）</w:t>
            </w:r>
          </w:p>
        </w:tc>
        <w:tc>
          <w:tcPr>
            <w:tcW w:w="82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sz w:val="24"/>
              </w:rPr>
            </w:pPr>
            <w:r>
              <w:rPr>
                <w:rFonts w:hint="eastAsia" w:ascii="宋体" w:cs="宋体"/>
                <w:sz w:val="24"/>
              </w:rPr>
              <w:t>20</w:t>
            </w: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28" w:hRule="atLeast"/>
          <w:tblCellSpacing w:w="0" w:type="dxa"/>
        </w:trPr>
        <w:tc>
          <w:tcPr>
            <w:tcW w:w="873" w:type="dxa"/>
            <w:vMerge w:val="continue"/>
            <w:tcBorders>
              <w:top w:val="single" w:color="auto" w:sz="4" w:space="0"/>
              <w:left w:val="single" w:color="auto" w:sz="4" w:space="0"/>
              <w:bottom w:val="single" w:color="auto" w:sz="4" w:space="0"/>
              <w:right w:val="single" w:color="auto" w:sz="4" w:space="0"/>
            </w:tcBorders>
            <w:noWrap/>
            <w:vAlign w:val="center"/>
          </w:tcPr>
          <w:p/>
        </w:tc>
        <w:tc>
          <w:tcPr>
            <w:tcW w:w="1480" w:type="dxa"/>
            <w:vMerge w:val="continue"/>
            <w:tcBorders>
              <w:top w:val="single" w:color="auto" w:sz="4" w:space="0"/>
              <w:left w:val="single" w:color="auto" w:sz="4" w:space="0"/>
              <w:bottom w:val="single" w:color="auto" w:sz="4" w:space="0"/>
              <w:right w:val="single" w:color="auto" w:sz="4" w:space="0"/>
            </w:tcBorders>
            <w:noWrap/>
            <w:vAlign w:val="center"/>
          </w:tcPr>
          <w:p/>
        </w:tc>
        <w:tc>
          <w:tcPr>
            <w:tcW w:w="2610" w:type="dxa"/>
            <w:vMerge w:val="continue"/>
            <w:tcBorders>
              <w:top w:val="single" w:color="auto" w:sz="4" w:space="0"/>
              <w:left w:val="single" w:color="auto" w:sz="4" w:space="0"/>
              <w:bottom w:val="single" w:color="auto" w:sz="4" w:space="0"/>
              <w:right w:val="single" w:color="auto" w:sz="4" w:space="0"/>
            </w:tcBorders>
            <w:noWrap/>
            <w:vAlign w:val="center"/>
          </w:tc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cs="宋体"/>
                <w:bCs/>
                <w:sz w:val="24"/>
              </w:rPr>
            </w:pPr>
            <w:r>
              <w:rPr>
                <w:rFonts w:hint="eastAsia" w:ascii="宋体" w:cs="宋体"/>
                <w:bCs/>
                <w:sz w:val="24"/>
              </w:rPr>
              <w:t>案件分析较为清晰专业；争议焦点归纳基本准确科学；案件结果预判基本合理有说服力（5-10分）</w:t>
            </w:r>
          </w:p>
        </w:tc>
        <w:tc>
          <w:tcPr>
            <w:tcW w:w="825" w:type="dxa"/>
            <w:vMerge w:val="continue"/>
            <w:tcBorders>
              <w:top w:val="single" w:color="auto" w:sz="4" w:space="0"/>
              <w:left w:val="single" w:color="auto" w:sz="4" w:space="0"/>
              <w:bottom w:val="single" w:color="auto" w:sz="4" w:space="0"/>
              <w:right w:val="single" w:color="auto" w:sz="4" w:space="0"/>
            </w:tcBorders>
            <w:noWrap/>
            <w:vAlign w:val="center"/>
          </w:tc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71" w:hRule="atLeast"/>
          <w:tblCellSpacing w:w="0" w:type="dxa"/>
        </w:trPr>
        <w:tc>
          <w:tcPr>
            <w:tcW w:w="873" w:type="dxa"/>
            <w:vMerge w:val="continue"/>
            <w:tcBorders>
              <w:top w:val="single" w:color="auto" w:sz="4" w:space="0"/>
              <w:left w:val="single" w:color="auto" w:sz="4" w:space="0"/>
              <w:bottom w:val="single" w:color="auto" w:sz="4" w:space="0"/>
              <w:right w:val="single" w:color="auto" w:sz="4" w:space="0"/>
            </w:tcBorders>
            <w:noWrap/>
            <w:vAlign w:val="center"/>
          </w:tcPr>
          <w:p/>
        </w:tc>
        <w:tc>
          <w:tcPr>
            <w:tcW w:w="1480" w:type="dxa"/>
            <w:vMerge w:val="continue"/>
            <w:tcBorders>
              <w:top w:val="single" w:color="auto" w:sz="4" w:space="0"/>
              <w:left w:val="single" w:color="auto" w:sz="4" w:space="0"/>
              <w:bottom w:val="single" w:color="auto" w:sz="4" w:space="0"/>
              <w:right w:val="single" w:color="auto" w:sz="4" w:space="0"/>
            </w:tcBorders>
            <w:noWrap/>
            <w:vAlign w:val="center"/>
          </w:tcPr>
          <w:p/>
        </w:tc>
        <w:tc>
          <w:tcPr>
            <w:tcW w:w="2610" w:type="dxa"/>
            <w:vMerge w:val="continue"/>
            <w:tcBorders>
              <w:top w:val="single" w:color="auto" w:sz="4" w:space="0"/>
              <w:left w:val="single" w:color="auto" w:sz="4" w:space="0"/>
              <w:bottom w:val="single" w:color="auto" w:sz="4" w:space="0"/>
              <w:right w:val="single" w:color="auto" w:sz="4" w:space="0"/>
            </w:tcBorders>
            <w:noWrap/>
            <w:vAlign w:val="center"/>
          </w:tc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cs="宋体"/>
                <w:bCs/>
                <w:sz w:val="24"/>
              </w:rPr>
            </w:pPr>
            <w:r>
              <w:rPr>
                <w:rFonts w:hint="eastAsia" w:ascii="宋体" w:cs="宋体"/>
                <w:bCs/>
                <w:sz w:val="24"/>
              </w:rPr>
              <w:t>案件分析较为一般；争议焦点归纳模糊；案件结果预判欠缺说服力1-5分）</w:t>
            </w:r>
          </w:p>
        </w:tc>
        <w:tc>
          <w:tcPr>
            <w:tcW w:w="825" w:type="dxa"/>
            <w:vMerge w:val="continue"/>
            <w:tcBorders>
              <w:top w:val="single" w:color="auto" w:sz="4" w:space="0"/>
              <w:left w:val="single" w:color="auto" w:sz="4" w:space="0"/>
              <w:bottom w:val="single" w:color="auto" w:sz="4" w:space="0"/>
              <w:right w:val="single" w:color="auto" w:sz="4" w:space="0"/>
            </w:tcBorders>
            <w:noWrap/>
            <w:vAlign w:val="center"/>
          </w:tc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9" w:hRule="atLeast"/>
          <w:tblCellSpacing w:w="0" w:type="dxa"/>
        </w:trPr>
        <w:tc>
          <w:tcPr>
            <w:tcW w:w="87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sz w:val="24"/>
              </w:rPr>
            </w:pPr>
            <w:r>
              <w:rPr>
                <w:rFonts w:hint="eastAsia" w:ascii="宋体" w:cs="宋体"/>
                <w:bCs/>
                <w:sz w:val="24"/>
              </w:rPr>
              <w:t>2</w:t>
            </w:r>
          </w:p>
        </w:tc>
        <w:tc>
          <w:tcPr>
            <w:tcW w:w="14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sz w:val="24"/>
              </w:rPr>
            </w:pPr>
            <w:r>
              <w:rPr>
                <w:rFonts w:hint="eastAsia" w:ascii="宋体" w:cs="宋体"/>
                <w:b/>
                <w:bCs/>
                <w:sz w:val="24"/>
              </w:rPr>
              <w:t>服务方案</w:t>
            </w:r>
          </w:p>
        </w:tc>
        <w:tc>
          <w:tcPr>
            <w:tcW w:w="261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bCs/>
                <w:sz w:val="24"/>
              </w:rPr>
            </w:pPr>
            <w:r>
              <w:rPr>
                <w:rFonts w:hint="eastAsia" w:ascii="宋体" w:cs="宋体"/>
                <w:bCs/>
                <w:sz w:val="24"/>
              </w:rPr>
              <w:t>综合评议服务方案，方案应完全响应招标需求，内容详尽、专业、完整，质量保障措施完善，方案切实可行，最大程度保障招标人债权回收。</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cs="宋体"/>
                <w:bCs/>
                <w:sz w:val="24"/>
              </w:rPr>
            </w:pPr>
            <w:r>
              <w:rPr>
                <w:rFonts w:hint="eastAsia" w:ascii="宋体" w:cs="宋体"/>
                <w:bCs/>
                <w:sz w:val="24"/>
              </w:rPr>
              <w:t>响应招标需求，服务方案内容详细、专业、完整、切实可行，社会资源丰富（1</w:t>
            </w:r>
            <w:r>
              <w:rPr>
                <w:rFonts w:ascii="宋体" w:cs="宋体"/>
                <w:bCs/>
                <w:sz w:val="24"/>
              </w:rPr>
              <w:t>5</w:t>
            </w:r>
            <w:r>
              <w:rPr>
                <w:rFonts w:hint="eastAsia" w:ascii="宋体" w:cs="宋体"/>
                <w:bCs/>
                <w:sz w:val="24"/>
              </w:rPr>
              <w:t>-</w:t>
            </w:r>
            <w:r>
              <w:rPr>
                <w:rFonts w:ascii="宋体" w:cs="宋体"/>
                <w:bCs/>
                <w:sz w:val="24"/>
              </w:rPr>
              <w:t>25</w:t>
            </w:r>
            <w:r>
              <w:rPr>
                <w:rFonts w:hint="eastAsia" w:ascii="宋体" w:cs="宋体"/>
                <w:bCs/>
                <w:sz w:val="24"/>
              </w:rPr>
              <w:t>分）</w:t>
            </w:r>
          </w:p>
        </w:tc>
        <w:tc>
          <w:tcPr>
            <w:tcW w:w="82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sz w:val="24"/>
              </w:rPr>
            </w:pPr>
            <w:r>
              <w:rPr>
                <w:rFonts w:hint="eastAsia" w:ascii="宋体" w:cs="宋体"/>
                <w:sz w:val="24"/>
              </w:rPr>
              <w:t>2</w:t>
            </w:r>
            <w:r>
              <w:rPr>
                <w:rFonts w:ascii="宋体" w:cs="宋体"/>
                <w:sz w:val="24"/>
              </w:rPr>
              <w:t>5</w:t>
            </w: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sz w:val="24"/>
              </w:rPr>
            </w:pPr>
            <w:r>
              <w:rPr>
                <w:rFonts w:hint="eastAsia" w:ascii="宋体" w:cs="宋体"/>
                <w:sz w:val="24"/>
              </w:rPr>
              <w:t> </w:t>
            </w:r>
          </w:p>
          <w:p>
            <w:pPr>
              <w:widowControl/>
              <w:jc w:val="left"/>
              <w:rPr>
                <w:rFonts w:ascii="宋体" w:cs="宋体"/>
                <w:sz w:val="24"/>
              </w:rPr>
            </w:pPr>
            <w:r>
              <w:rPr>
                <w:rFonts w:hint="eastAsia" w:ascii="宋体" w:cs="宋体"/>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6" w:hRule="atLeast"/>
          <w:tblCellSpacing w:w="0" w:type="dxa"/>
        </w:trPr>
        <w:tc>
          <w:tcPr>
            <w:tcW w:w="873" w:type="dxa"/>
            <w:vMerge w:val="continue"/>
            <w:tcBorders>
              <w:top w:val="single" w:color="auto" w:sz="4" w:space="0"/>
              <w:left w:val="single" w:color="auto" w:sz="4" w:space="0"/>
              <w:bottom w:val="single" w:color="auto" w:sz="4" w:space="0"/>
              <w:right w:val="single" w:color="auto" w:sz="4" w:space="0"/>
            </w:tcBorders>
            <w:noWrap/>
            <w:vAlign w:val="center"/>
          </w:tcPr>
          <w:p/>
        </w:tc>
        <w:tc>
          <w:tcPr>
            <w:tcW w:w="1480" w:type="dxa"/>
            <w:vMerge w:val="continue"/>
            <w:tcBorders>
              <w:top w:val="single" w:color="auto" w:sz="4" w:space="0"/>
              <w:left w:val="single" w:color="auto" w:sz="4" w:space="0"/>
              <w:bottom w:val="single" w:color="auto" w:sz="4" w:space="0"/>
              <w:right w:val="single" w:color="auto" w:sz="4" w:space="0"/>
            </w:tcBorders>
            <w:noWrap/>
            <w:vAlign w:val="center"/>
          </w:tcPr>
          <w:p/>
        </w:tc>
        <w:tc>
          <w:tcPr>
            <w:tcW w:w="2610" w:type="dxa"/>
            <w:vMerge w:val="continue"/>
            <w:tcBorders>
              <w:top w:val="single" w:color="auto" w:sz="4" w:space="0"/>
              <w:left w:val="single" w:color="auto" w:sz="4" w:space="0"/>
              <w:bottom w:val="single" w:color="auto" w:sz="4" w:space="0"/>
              <w:right w:val="single" w:color="auto" w:sz="4" w:space="0"/>
            </w:tcBorders>
            <w:noWrap/>
            <w:vAlign w:val="center"/>
          </w:tc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cs="宋体"/>
                <w:bCs/>
                <w:sz w:val="24"/>
              </w:rPr>
            </w:pPr>
            <w:r>
              <w:rPr>
                <w:rFonts w:hint="eastAsia" w:ascii="宋体" w:cs="宋体"/>
                <w:bCs/>
                <w:sz w:val="24"/>
              </w:rPr>
              <w:t>响应招标需求，服务方案内容较为详细，可行性一般（</w:t>
            </w:r>
            <w:r>
              <w:rPr>
                <w:rFonts w:ascii="宋体" w:cs="宋体"/>
                <w:bCs/>
                <w:sz w:val="24"/>
              </w:rPr>
              <w:t>10</w:t>
            </w:r>
            <w:r>
              <w:rPr>
                <w:rFonts w:hint="eastAsia" w:ascii="宋体" w:cs="宋体"/>
                <w:bCs/>
                <w:sz w:val="24"/>
              </w:rPr>
              <w:t>-</w:t>
            </w:r>
            <w:r>
              <w:rPr>
                <w:rFonts w:ascii="宋体" w:cs="宋体"/>
                <w:bCs/>
                <w:sz w:val="24"/>
              </w:rPr>
              <w:t>15</w:t>
            </w:r>
            <w:r>
              <w:rPr>
                <w:rFonts w:hint="eastAsia" w:ascii="宋体" w:cs="宋体"/>
                <w:bCs/>
                <w:sz w:val="24"/>
              </w:rPr>
              <w:t>分）</w:t>
            </w:r>
          </w:p>
        </w:tc>
        <w:tc>
          <w:tcPr>
            <w:tcW w:w="825" w:type="dxa"/>
            <w:vMerge w:val="continue"/>
            <w:tcBorders>
              <w:top w:val="single" w:color="auto" w:sz="4" w:space="0"/>
              <w:left w:val="single" w:color="auto" w:sz="4" w:space="0"/>
              <w:bottom w:val="single" w:color="auto" w:sz="4" w:space="0"/>
              <w:right w:val="single" w:color="auto" w:sz="4" w:space="0"/>
            </w:tcBorders>
            <w:noWrap/>
            <w:vAlign w:val="center"/>
          </w:tc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41" w:hRule="atLeast"/>
          <w:tblCellSpacing w:w="0" w:type="dxa"/>
        </w:trPr>
        <w:tc>
          <w:tcPr>
            <w:tcW w:w="873" w:type="dxa"/>
            <w:vMerge w:val="continue"/>
            <w:tcBorders>
              <w:top w:val="single" w:color="auto" w:sz="4" w:space="0"/>
              <w:left w:val="single" w:color="auto" w:sz="4" w:space="0"/>
              <w:bottom w:val="single" w:color="auto" w:sz="4" w:space="0"/>
              <w:right w:val="single" w:color="auto" w:sz="4" w:space="0"/>
            </w:tcBorders>
            <w:noWrap/>
            <w:vAlign w:val="center"/>
          </w:tcPr>
          <w:p/>
        </w:tc>
        <w:tc>
          <w:tcPr>
            <w:tcW w:w="1480" w:type="dxa"/>
            <w:vMerge w:val="continue"/>
            <w:tcBorders>
              <w:top w:val="single" w:color="auto" w:sz="4" w:space="0"/>
              <w:left w:val="single" w:color="auto" w:sz="4" w:space="0"/>
              <w:bottom w:val="single" w:color="auto" w:sz="4" w:space="0"/>
              <w:right w:val="single" w:color="auto" w:sz="4" w:space="0"/>
            </w:tcBorders>
            <w:noWrap/>
            <w:vAlign w:val="center"/>
          </w:tcPr>
          <w:p/>
        </w:tc>
        <w:tc>
          <w:tcPr>
            <w:tcW w:w="2610" w:type="dxa"/>
            <w:vMerge w:val="continue"/>
            <w:tcBorders>
              <w:top w:val="single" w:color="auto" w:sz="4" w:space="0"/>
              <w:left w:val="single" w:color="auto" w:sz="4" w:space="0"/>
              <w:bottom w:val="single" w:color="auto" w:sz="4" w:space="0"/>
              <w:right w:val="single" w:color="auto" w:sz="4" w:space="0"/>
            </w:tcBorders>
            <w:noWrap/>
            <w:vAlign w:val="center"/>
          </w:tc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bCs/>
                <w:sz w:val="24"/>
              </w:rPr>
            </w:pPr>
            <w:r>
              <w:rPr>
                <w:rFonts w:hint="eastAsia" w:ascii="宋体" w:cs="宋体"/>
                <w:bCs/>
                <w:sz w:val="24"/>
              </w:rPr>
              <w:t>响应招标需求，服务方案基本符合要求，可行性较差（1-</w:t>
            </w:r>
            <w:r>
              <w:rPr>
                <w:rFonts w:ascii="宋体" w:cs="宋体"/>
                <w:bCs/>
                <w:sz w:val="24"/>
              </w:rPr>
              <w:t>10</w:t>
            </w:r>
            <w:r>
              <w:rPr>
                <w:rFonts w:hint="eastAsia" w:ascii="宋体" w:cs="宋体"/>
                <w:bCs/>
                <w:sz w:val="24"/>
              </w:rPr>
              <w:t>分）</w:t>
            </w:r>
          </w:p>
        </w:tc>
        <w:tc>
          <w:tcPr>
            <w:tcW w:w="825" w:type="dxa"/>
            <w:vMerge w:val="continue"/>
            <w:tcBorders>
              <w:top w:val="single" w:color="auto" w:sz="4" w:space="0"/>
              <w:left w:val="single" w:color="auto" w:sz="4" w:space="0"/>
              <w:bottom w:val="single" w:color="auto" w:sz="4" w:space="0"/>
              <w:right w:val="single" w:color="auto" w:sz="4" w:space="0"/>
            </w:tcBorders>
            <w:noWrap/>
            <w:vAlign w:val="center"/>
          </w:tc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91" w:hRule="atLeast"/>
          <w:tblCellSpacing w:w="0" w:type="dxa"/>
        </w:trPr>
        <w:tc>
          <w:tcPr>
            <w:tcW w:w="87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Cs/>
                <w:sz w:val="24"/>
              </w:rPr>
            </w:pPr>
            <w:r>
              <w:rPr>
                <w:rFonts w:hint="eastAsia" w:ascii="宋体" w:cs="宋体"/>
                <w:bCs/>
                <w:sz w:val="24"/>
              </w:rPr>
              <w:t>3</w:t>
            </w:r>
          </w:p>
        </w:tc>
        <w:tc>
          <w:tcPr>
            <w:tcW w:w="14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Cs/>
                <w:sz w:val="24"/>
              </w:rPr>
            </w:pPr>
            <w:r>
              <w:rPr>
                <w:rFonts w:hint="eastAsia" w:ascii="宋体" w:cs="宋体"/>
                <w:b/>
                <w:bCs/>
                <w:sz w:val="24"/>
              </w:rPr>
              <w:t>中介机构规模</w:t>
            </w:r>
          </w:p>
        </w:tc>
        <w:tc>
          <w:tcPr>
            <w:tcW w:w="261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Cs/>
                <w:sz w:val="24"/>
              </w:rPr>
            </w:pPr>
            <w:r>
              <w:rPr>
                <w:rFonts w:hint="eastAsia" w:ascii="宋体" w:cs="宋体"/>
                <w:bCs/>
                <w:sz w:val="24"/>
              </w:rPr>
              <w:t>专职执业律师规模</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cs="宋体"/>
                <w:bCs/>
                <w:sz w:val="24"/>
              </w:rPr>
            </w:pPr>
            <w:r>
              <w:rPr>
                <w:rFonts w:hint="eastAsia" w:ascii="宋体" w:cs="宋体"/>
                <w:bCs/>
                <w:sz w:val="24"/>
              </w:rPr>
              <w:t>专职执业律师</w:t>
            </w:r>
            <w:r>
              <w:rPr>
                <w:rFonts w:ascii="宋体" w:cs="宋体"/>
                <w:bCs/>
                <w:sz w:val="24"/>
              </w:rPr>
              <w:t>50</w:t>
            </w:r>
            <w:r>
              <w:rPr>
                <w:rFonts w:hint="eastAsia" w:ascii="宋体" w:cs="宋体"/>
                <w:bCs/>
                <w:sz w:val="24"/>
              </w:rPr>
              <w:t>人及以上4分</w:t>
            </w:r>
          </w:p>
        </w:tc>
        <w:tc>
          <w:tcPr>
            <w:tcW w:w="82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sz w:val="24"/>
              </w:rPr>
            </w:pPr>
            <w:r>
              <w:rPr>
                <w:rFonts w:hint="eastAsia" w:ascii="宋体" w:cs="宋体"/>
                <w:sz w:val="24"/>
              </w:rPr>
              <w:t>4</w:t>
            </w: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6" w:hRule="atLeast"/>
          <w:tblCellSpacing w:w="0" w:type="dxa"/>
        </w:trPr>
        <w:tc>
          <w:tcPr>
            <w:tcW w:w="873" w:type="dxa"/>
            <w:vMerge w:val="continue"/>
            <w:tcBorders>
              <w:top w:val="single" w:color="auto" w:sz="4" w:space="0"/>
              <w:left w:val="single" w:color="auto" w:sz="4" w:space="0"/>
              <w:bottom w:val="single" w:color="auto" w:sz="4" w:space="0"/>
              <w:right w:val="single" w:color="auto" w:sz="4" w:space="0"/>
            </w:tcBorders>
            <w:noWrap/>
            <w:vAlign w:val="center"/>
          </w:tcPr>
          <w:p/>
        </w:tc>
        <w:tc>
          <w:tcPr>
            <w:tcW w:w="1480" w:type="dxa"/>
            <w:vMerge w:val="continue"/>
            <w:tcBorders>
              <w:top w:val="single" w:color="auto" w:sz="4" w:space="0"/>
              <w:left w:val="single" w:color="auto" w:sz="4" w:space="0"/>
              <w:bottom w:val="single" w:color="auto" w:sz="4" w:space="0"/>
              <w:right w:val="single" w:color="auto" w:sz="4" w:space="0"/>
            </w:tcBorders>
            <w:noWrap/>
            <w:vAlign w:val="center"/>
          </w:tcPr>
          <w:p/>
        </w:tc>
        <w:tc>
          <w:tcPr>
            <w:tcW w:w="2610" w:type="dxa"/>
            <w:vMerge w:val="continue"/>
            <w:tcBorders>
              <w:top w:val="single" w:color="auto" w:sz="4" w:space="0"/>
              <w:left w:val="single" w:color="auto" w:sz="4" w:space="0"/>
              <w:bottom w:val="single" w:color="auto" w:sz="4" w:space="0"/>
              <w:right w:val="single" w:color="auto" w:sz="4" w:space="0"/>
            </w:tcBorders>
            <w:noWrap/>
            <w:vAlign w:val="center"/>
          </w:tc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cs="宋体"/>
                <w:bCs/>
                <w:sz w:val="24"/>
              </w:rPr>
            </w:pPr>
            <w:r>
              <w:rPr>
                <w:rFonts w:hint="eastAsia" w:ascii="宋体" w:cs="宋体"/>
                <w:bCs/>
                <w:sz w:val="24"/>
              </w:rPr>
              <w:t>专职执业律师25人至</w:t>
            </w:r>
            <w:r>
              <w:rPr>
                <w:rFonts w:ascii="宋体" w:cs="宋体"/>
                <w:bCs/>
                <w:sz w:val="24"/>
              </w:rPr>
              <w:t>49</w:t>
            </w:r>
            <w:r>
              <w:rPr>
                <w:rFonts w:hint="eastAsia" w:ascii="宋体" w:cs="宋体"/>
                <w:bCs/>
                <w:sz w:val="24"/>
              </w:rPr>
              <w:t>人3分</w:t>
            </w:r>
          </w:p>
        </w:tc>
        <w:tc>
          <w:tcPr>
            <w:tcW w:w="825" w:type="dxa"/>
            <w:vMerge w:val="continue"/>
            <w:tcBorders>
              <w:top w:val="single" w:color="auto" w:sz="4" w:space="0"/>
              <w:left w:val="single" w:color="auto" w:sz="4" w:space="0"/>
              <w:bottom w:val="single" w:color="auto" w:sz="4" w:space="0"/>
              <w:right w:val="single" w:color="auto" w:sz="4" w:space="0"/>
            </w:tcBorders>
            <w:noWrap/>
            <w:vAlign w:val="center"/>
          </w:tc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91" w:hRule="atLeast"/>
          <w:tblCellSpacing w:w="0" w:type="dxa"/>
        </w:trPr>
        <w:tc>
          <w:tcPr>
            <w:tcW w:w="873" w:type="dxa"/>
            <w:vMerge w:val="continue"/>
            <w:tcBorders>
              <w:top w:val="single" w:color="auto" w:sz="4" w:space="0"/>
              <w:left w:val="single" w:color="auto" w:sz="4" w:space="0"/>
              <w:bottom w:val="single" w:color="auto" w:sz="4" w:space="0"/>
              <w:right w:val="single" w:color="auto" w:sz="4" w:space="0"/>
            </w:tcBorders>
            <w:noWrap/>
            <w:vAlign w:val="center"/>
          </w:tcPr>
          <w:p/>
        </w:tc>
        <w:tc>
          <w:tcPr>
            <w:tcW w:w="1480" w:type="dxa"/>
            <w:vMerge w:val="continue"/>
            <w:tcBorders>
              <w:top w:val="single" w:color="auto" w:sz="4" w:space="0"/>
              <w:left w:val="single" w:color="auto" w:sz="4" w:space="0"/>
              <w:bottom w:val="single" w:color="auto" w:sz="4" w:space="0"/>
              <w:right w:val="single" w:color="auto" w:sz="4" w:space="0"/>
            </w:tcBorders>
            <w:noWrap/>
            <w:vAlign w:val="center"/>
          </w:tcPr>
          <w:p/>
        </w:tc>
        <w:tc>
          <w:tcPr>
            <w:tcW w:w="2610" w:type="dxa"/>
            <w:vMerge w:val="continue"/>
            <w:tcBorders>
              <w:top w:val="single" w:color="auto" w:sz="4" w:space="0"/>
              <w:left w:val="single" w:color="auto" w:sz="4" w:space="0"/>
              <w:bottom w:val="single" w:color="auto" w:sz="4" w:space="0"/>
              <w:right w:val="single" w:color="auto" w:sz="4" w:space="0"/>
            </w:tcBorders>
            <w:noWrap/>
            <w:vAlign w:val="center"/>
          </w:tc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cs="宋体"/>
                <w:bCs/>
                <w:sz w:val="24"/>
              </w:rPr>
            </w:pPr>
            <w:r>
              <w:rPr>
                <w:rFonts w:hint="eastAsia" w:ascii="宋体" w:cs="宋体"/>
                <w:bCs/>
                <w:sz w:val="24"/>
              </w:rPr>
              <w:t>专职执业律师</w:t>
            </w:r>
            <w:r>
              <w:rPr>
                <w:rFonts w:ascii="宋体" w:cs="宋体"/>
                <w:bCs/>
                <w:sz w:val="24"/>
              </w:rPr>
              <w:t>2</w:t>
            </w:r>
            <w:r>
              <w:rPr>
                <w:rFonts w:hint="eastAsia" w:ascii="宋体" w:cs="宋体"/>
                <w:bCs/>
                <w:sz w:val="24"/>
              </w:rPr>
              <w:t>4人及以下2分</w:t>
            </w:r>
          </w:p>
        </w:tc>
        <w:tc>
          <w:tcPr>
            <w:tcW w:w="825" w:type="dxa"/>
            <w:vMerge w:val="continue"/>
            <w:tcBorders>
              <w:top w:val="single" w:color="auto" w:sz="4" w:space="0"/>
              <w:left w:val="single" w:color="auto" w:sz="4" w:space="0"/>
              <w:bottom w:val="single" w:color="auto" w:sz="4" w:space="0"/>
              <w:right w:val="single" w:color="auto" w:sz="4" w:space="0"/>
            </w:tcBorders>
            <w:noWrap/>
            <w:vAlign w:val="center"/>
          </w:tc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6" w:hRule="atLeast"/>
          <w:tblCellSpacing w:w="0" w:type="dxa"/>
        </w:trPr>
        <w:tc>
          <w:tcPr>
            <w:tcW w:w="87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Cs/>
                <w:sz w:val="24"/>
              </w:rPr>
            </w:pPr>
            <w:r>
              <w:rPr>
                <w:rFonts w:hint="eastAsia" w:ascii="宋体" w:cs="宋体"/>
                <w:bCs/>
                <w:sz w:val="24"/>
              </w:rPr>
              <w:t>4</w:t>
            </w:r>
          </w:p>
        </w:tc>
        <w:tc>
          <w:tcPr>
            <w:tcW w:w="14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sz w:val="24"/>
              </w:rPr>
            </w:pPr>
            <w:r>
              <w:rPr>
                <w:rFonts w:hint="eastAsia" w:ascii="宋体" w:cs="宋体"/>
                <w:b/>
                <w:bCs/>
                <w:sz w:val="24"/>
              </w:rPr>
              <w:t>中介机构业绩</w:t>
            </w:r>
          </w:p>
          <w:p>
            <w:pPr>
              <w:widowControl/>
              <w:jc w:val="center"/>
              <w:rPr>
                <w:rFonts w:ascii="宋体" w:cs="宋体"/>
                <w:bCs/>
                <w:sz w:val="24"/>
              </w:rPr>
            </w:pPr>
          </w:p>
        </w:tc>
        <w:tc>
          <w:tcPr>
            <w:tcW w:w="261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sz w:val="24"/>
              </w:rPr>
            </w:pPr>
            <w:r>
              <w:rPr>
                <w:rFonts w:hint="eastAsia" w:ascii="宋体" w:cs="宋体"/>
                <w:sz w:val="24"/>
              </w:rPr>
              <w:t>类似案件业绩</w:t>
            </w:r>
          </w:p>
          <w:p>
            <w:pPr>
              <w:widowControl/>
              <w:jc w:val="center"/>
              <w:rPr>
                <w:rFonts w:ascii="宋体" w:cs="宋体"/>
                <w:bCs/>
                <w:sz w:val="24"/>
              </w:rPr>
            </w:pPr>
            <w:r>
              <w:rPr>
                <w:rFonts w:hint="eastAsia" w:ascii="宋体" w:cs="宋体"/>
                <w:sz w:val="24"/>
              </w:rPr>
              <w:t>（须是本案件代理团队成员业绩）</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b/>
                <w:sz w:val="24"/>
              </w:rPr>
            </w:pPr>
            <w:r>
              <w:rPr>
                <w:rFonts w:hint="eastAsia" w:ascii="宋体" w:cs="宋体"/>
                <w:b/>
                <w:sz w:val="24"/>
              </w:rPr>
              <w:t>基础分：</w:t>
            </w:r>
          </w:p>
          <w:p>
            <w:pPr>
              <w:widowControl/>
              <w:ind w:firstLine="480" w:firstLineChars="200"/>
              <w:rPr>
                <w:rFonts w:ascii="宋体" w:cs="宋体"/>
                <w:bCs/>
                <w:sz w:val="24"/>
              </w:rPr>
            </w:pPr>
            <w:r>
              <w:rPr>
                <w:rFonts w:hint="eastAsia" w:ascii="宋体" w:cs="宋体"/>
                <w:bCs/>
                <w:sz w:val="24"/>
              </w:rPr>
              <w:t>代理建工领域合同纠纷案件，标的金额总计5000万元及以下的计3.5分</w:t>
            </w:r>
          </w:p>
          <w:p>
            <w:pPr>
              <w:widowControl/>
              <w:ind w:firstLine="480" w:firstLineChars="200"/>
              <w:rPr>
                <w:rFonts w:ascii="宋体" w:cs="宋体"/>
                <w:bCs/>
                <w:sz w:val="24"/>
              </w:rPr>
            </w:pPr>
            <w:r>
              <w:rPr>
                <w:rFonts w:hint="eastAsia" w:ascii="宋体" w:cs="宋体"/>
                <w:bCs/>
                <w:sz w:val="24"/>
              </w:rPr>
              <w:t>代理建工领域合同纠纷案件，标的金额总计5000万以上不足10000万元的计4.5分</w:t>
            </w:r>
          </w:p>
          <w:p>
            <w:pPr>
              <w:widowControl/>
              <w:ind w:firstLine="480" w:firstLineChars="200"/>
              <w:jc w:val="left"/>
              <w:rPr>
                <w:rFonts w:ascii="宋体" w:cs="宋体"/>
                <w:bCs/>
                <w:sz w:val="24"/>
              </w:rPr>
            </w:pPr>
            <w:r>
              <w:rPr>
                <w:rFonts w:hint="eastAsia" w:ascii="宋体" w:cs="宋体"/>
                <w:bCs/>
                <w:sz w:val="24"/>
              </w:rPr>
              <w:t>代理建工领域合同纠纷案件，标的金额总计10000万元以上的计5.5分</w:t>
            </w:r>
          </w:p>
          <w:p>
            <w:pPr>
              <w:widowControl/>
              <w:ind w:firstLine="480" w:firstLineChars="200"/>
              <w:rPr>
                <w:rFonts w:ascii="宋体" w:cs="宋体"/>
                <w:bCs/>
                <w:sz w:val="24"/>
              </w:rPr>
            </w:pPr>
          </w:p>
        </w:tc>
        <w:tc>
          <w:tcPr>
            <w:tcW w:w="82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sz w:val="24"/>
              </w:rPr>
            </w:pPr>
            <w:r>
              <w:rPr>
                <w:rFonts w:hint="eastAsia" w:ascii="宋体" w:cs="宋体"/>
                <w:sz w:val="24"/>
              </w:rPr>
              <w:t>10</w:t>
            </w: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sz w:val="24"/>
              </w:rPr>
            </w:pPr>
            <w:r>
              <w:rPr>
                <w:rFonts w:hint="eastAsia" w:ascii="宋体" w:cs="宋体"/>
                <w:sz w:val="24"/>
              </w:rPr>
              <w:t> </w:t>
            </w:r>
          </w:p>
          <w:p>
            <w:pPr>
              <w:widowControl/>
              <w:jc w:val="left"/>
              <w:rPr>
                <w:rFonts w:ascii="宋体" w:cs="宋体"/>
                <w:sz w:val="24"/>
              </w:rPr>
            </w:pPr>
            <w:r>
              <w:rPr>
                <w:rFonts w:hint="eastAsia" w:ascii="宋体" w:cs="宋体"/>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6" w:hRule="atLeast"/>
          <w:tblCellSpacing w:w="0" w:type="dxa"/>
        </w:trPr>
        <w:tc>
          <w:tcPr>
            <w:tcW w:w="873" w:type="dxa"/>
            <w:vMerge w:val="continue"/>
            <w:tcBorders>
              <w:top w:val="single" w:color="auto" w:sz="4" w:space="0"/>
              <w:left w:val="single" w:color="auto" w:sz="4" w:space="0"/>
              <w:bottom w:val="single" w:color="auto" w:sz="4" w:space="0"/>
              <w:right w:val="single" w:color="auto" w:sz="4" w:space="0"/>
            </w:tcBorders>
            <w:noWrap/>
            <w:vAlign w:val="center"/>
          </w:tcPr>
          <w:p/>
        </w:tc>
        <w:tc>
          <w:tcPr>
            <w:tcW w:w="1480" w:type="dxa"/>
            <w:vMerge w:val="continue"/>
            <w:tcBorders>
              <w:top w:val="single" w:color="auto" w:sz="4" w:space="0"/>
              <w:left w:val="single" w:color="auto" w:sz="4" w:space="0"/>
              <w:bottom w:val="single" w:color="auto" w:sz="4" w:space="0"/>
              <w:right w:val="single" w:color="auto" w:sz="4" w:space="0"/>
            </w:tcBorders>
            <w:noWrap/>
            <w:vAlign w:val="center"/>
          </w:tcPr>
          <w:p/>
        </w:tc>
        <w:tc>
          <w:tcPr>
            <w:tcW w:w="2610" w:type="dxa"/>
            <w:vMerge w:val="continue"/>
            <w:tcBorders>
              <w:top w:val="single" w:color="auto" w:sz="4" w:space="0"/>
              <w:left w:val="single" w:color="auto" w:sz="4" w:space="0"/>
              <w:bottom w:val="single" w:color="auto" w:sz="4" w:space="0"/>
              <w:right w:val="single" w:color="auto" w:sz="4" w:space="0"/>
            </w:tcBorders>
            <w:noWrap/>
            <w:vAlign w:val="center"/>
          </w:tc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b/>
                <w:sz w:val="24"/>
              </w:rPr>
            </w:pPr>
            <w:r>
              <w:rPr>
                <w:rFonts w:hint="eastAsia" w:ascii="宋体" w:cs="宋体"/>
                <w:b/>
                <w:sz w:val="24"/>
              </w:rPr>
              <w:t>加减分项：</w:t>
            </w:r>
          </w:p>
          <w:p>
            <w:pPr>
              <w:widowControl/>
              <w:ind w:firstLine="240" w:firstLineChars="100"/>
              <w:jc w:val="left"/>
              <w:rPr>
                <w:rFonts w:ascii="宋体" w:cs="宋体"/>
                <w:bCs/>
                <w:sz w:val="24"/>
              </w:rPr>
            </w:pPr>
            <w:r>
              <w:rPr>
                <w:rFonts w:hint="eastAsia" w:ascii="宋体" w:cs="宋体"/>
                <w:bCs/>
                <w:sz w:val="24"/>
              </w:rPr>
              <w:t>(一)代理上述案件终审支持金额或终审减损金额占诉请金额</w:t>
            </w:r>
          </w:p>
          <w:p>
            <w:pPr>
              <w:widowControl/>
              <w:ind w:firstLine="240" w:firstLineChars="100"/>
              <w:jc w:val="left"/>
              <w:rPr>
                <w:rFonts w:ascii="宋体" w:cs="宋体"/>
                <w:bCs/>
                <w:sz w:val="24"/>
              </w:rPr>
            </w:pPr>
            <w:r>
              <w:rPr>
                <w:rFonts w:hint="eastAsia" w:ascii="宋体" w:cs="宋体"/>
                <w:bCs/>
                <w:sz w:val="24"/>
              </w:rPr>
              <w:t>占比80%以上的加2分</w:t>
            </w:r>
          </w:p>
          <w:p>
            <w:pPr>
              <w:widowControl/>
              <w:ind w:firstLine="240" w:firstLineChars="100"/>
              <w:jc w:val="left"/>
              <w:rPr>
                <w:rFonts w:ascii="宋体" w:cs="宋体"/>
                <w:bCs/>
                <w:sz w:val="24"/>
              </w:rPr>
            </w:pPr>
            <w:r>
              <w:rPr>
                <w:rFonts w:hint="eastAsia" w:ascii="宋体" w:cs="宋体"/>
                <w:bCs/>
                <w:sz w:val="24"/>
              </w:rPr>
              <w:t>占比61%-80%的加1分</w:t>
            </w:r>
          </w:p>
          <w:p>
            <w:pPr>
              <w:widowControl/>
              <w:ind w:firstLine="240" w:firstLineChars="100"/>
              <w:jc w:val="left"/>
              <w:rPr>
                <w:rFonts w:ascii="宋体" w:cs="宋体"/>
                <w:bCs/>
                <w:sz w:val="24"/>
              </w:rPr>
            </w:pPr>
            <w:r>
              <w:rPr>
                <w:rFonts w:hint="eastAsia" w:ascii="宋体" w:cs="宋体"/>
                <w:bCs/>
                <w:sz w:val="24"/>
              </w:rPr>
              <w:t>占比50%-60%不加减分</w:t>
            </w:r>
          </w:p>
          <w:p>
            <w:pPr>
              <w:widowControl/>
              <w:ind w:firstLine="240" w:firstLineChars="100"/>
              <w:jc w:val="left"/>
              <w:rPr>
                <w:rFonts w:ascii="宋体" w:cs="宋体"/>
                <w:bCs/>
                <w:sz w:val="24"/>
              </w:rPr>
            </w:pPr>
            <w:r>
              <w:rPr>
                <w:rFonts w:hint="eastAsia" w:ascii="宋体" w:cs="宋体"/>
                <w:bCs/>
                <w:sz w:val="24"/>
              </w:rPr>
              <w:t>占比50%以下的减1分</w:t>
            </w:r>
          </w:p>
          <w:p>
            <w:pPr>
              <w:widowControl/>
              <w:numPr>
                <w:ilvl w:val="0"/>
                <w:numId w:val="5"/>
              </w:numPr>
              <w:ind w:firstLine="240" w:firstLineChars="100"/>
              <w:jc w:val="left"/>
              <w:rPr>
                <w:rFonts w:ascii="宋体" w:cs="宋体"/>
                <w:bCs/>
                <w:sz w:val="24"/>
              </w:rPr>
            </w:pPr>
            <w:r>
              <w:rPr>
                <w:rFonts w:hint="eastAsia" w:ascii="宋体" w:cs="宋体"/>
                <w:bCs/>
                <w:sz w:val="24"/>
              </w:rPr>
              <w:t>三年内担任法律顾问单位情况（最高加2.5分）</w:t>
            </w:r>
          </w:p>
          <w:p>
            <w:pPr>
              <w:widowControl/>
              <w:ind w:firstLine="240" w:firstLineChars="100"/>
              <w:rPr>
                <w:rFonts w:ascii="宋体" w:cs="宋体"/>
                <w:bCs/>
                <w:sz w:val="24"/>
              </w:rPr>
            </w:pPr>
            <w:r>
              <w:rPr>
                <w:rFonts w:hint="eastAsia" w:ascii="宋体" w:cs="宋体"/>
                <w:bCs/>
                <w:sz w:val="24"/>
              </w:rPr>
              <w:t>担任地市级及以上政府机关，或大型建筑类国有企业法律顾问单位或为大型建筑类国有企业提供专项法律服务的加2.5分</w:t>
            </w:r>
          </w:p>
          <w:p>
            <w:pPr>
              <w:widowControl/>
              <w:ind w:firstLine="240" w:firstLineChars="100"/>
              <w:jc w:val="left"/>
              <w:rPr>
                <w:rFonts w:ascii="宋体" w:cs="宋体"/>
              </w:rPr>
            </w:pPr>
            <w:r>
              <w:rPr>
                <w:rFonts w:hint="eastAsia" w:ascii="宋体" w:cs="宋体"/>
                <w:bCs/>
                <w:sz w:val="24"/>
              </w:rPr>
              <w:t>担任建筑类事业单位、建筑类企业的法律顾问加1.5分；</w:t>
            </w:r>
          </w:p>
          <w:p>
            <w:pPr>
              <w:widowControl/>
              <w:jc w:val="left"/>
              <w:rPr>
                <w:rFonts w:ascii="宋体" w:cs="宋体"/>
                <w:bCs/>
                <w:sz w:val="24"/>
              </w:rPr>
            </w:pPr>
          </w:p>
        </w:tc>
        <w:tc>
          <w:tcPr>
            <w:tcW w:w="825" w:type="dxa"/>
            <w:vMerge w:val="continue"/>
            <w:tcBorders>
              <w:top w:val="single" w:color="auto" w:sz="4" w:space="0"/>
              <w:left w:val="single" w:color="auto" w:sz="4" w:space="0"/>
              <w:bottom w:val="single" w:color="auto" w:sz="4" w:space="0"/>
              <w:right w:val="single" w:color="auto" w:sz="4" w:space="0"/>
            </w:tcBorders>
            <w:noWrap/>
            <w:vAlign w:val="center"/>
          </w:tc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1" w:hRule="atLeast"/>
          <w:tblCellSpacing w:w="0" w:type="dxa"/>
        </w:trPr>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sz w:val="24"/>
              </w:rPr>
            </w:pPr>
            <w:r>
              <w:rPr>
                <w:rFonts w:hint="eastAsia" w:ascii="宋体" w:cs="宋体"/>
                <w:bCs/>
                <w:sz w:val="24"/>
              </w:rPr>
              <w:t>5</w:t>
            </w:r>
          </w:p>
        </w:tc>
        <w:tc>
          <w:tcPr>
            <w:tcW w:w="1480" w:type="dxa"/>
            <w:tcBorders>
              <w:top w:val="single" w:color="auto" w:sz="4" w:space="0"/>
              <w:left w:val="single" w:color="auto" w:sz="4" w:space="0"/>
              <w:bottom w:val="single" w:color="auto" w:sz="4" w:space="0"/>
              <w:right w:val="single" w:color="auto" w:sz="4" w:space="0"/>
            </w:tcBorders>
            <w:noWrap/>
            <w:vAlign w:val="bottom"/>
          </w:tcPr>
          <w:p>
            <w:pPr>
              <w:widowControl/>
              <w:rPr>
                <w:rFonts w:ascii="宋体" w:cs="宋体"/>
                <w:b/>
                <w:bCs/>
                <w:sz w:val="24"/>
              </w:rPr>
            </w:pPr>
          </w:p>
          <w:p>
            <w:pPr>
              <w:widowControl/>
              <w:jc w:val="center"/>
              <w:rPr>
                <w:rFonts w:ascii="宋体" w:cs="宋体"/>
                <w:b/>
                <w:bCs/>
                <w:sz w:val="24"/>
              </w:rPr>
            </w:pPr>
          </w:p>
          <w:p>
            <w:pPr>
              <w:widowControl/>
              <w:jc w:val="center"/>
              <w:rPr>
                <w:rFonts w:ascii="宋体" w:cs="宋体"/>
                <w:b/>
                <w:bCs/>
                <w:sz w:val="24"/>
              </w:rPr>
            </w:pPr>
          </w:p>
          <w:p>
            <w:pPr>
              <w:widowControl/>
              <w:jc w:val="center"/>
              <w:rPr>
                <w:rFonts w:ascii="宋体" w:cs="宋体"/>
                <w:b/>
                <w:bCs/>
                <w:sz w:val="24"/>
              </w:rPr>
            </w:pPr>
          </w:p>
          <w:p>
            <w:pPr>
              <w:widowControl/>
              <w:rPr>
                <w:rFonts w:ascii="宋体" w:cs="宋体"/>
                <w:b/>
                <w:bCs/>
                <w:sz w:val="24"/>
              </w:rPr>
            </w:pPr>
            <w:r>
              <w:rPr>
                <w:rFonts w:hint="eastAsia" w:ascii="宋体" w:cs="宋体"/>
                <w:b/>
                <w:bCs/>
                <w:sz w:val="24"/>
              </w:rPr>
              <w:t>承办律师资历、社会资源及社会评价</w:t>
            </w:r>
          </w:p>
        </w:tc>
        <w:tc>
          <w:tcPr>
            <w:tcW w:w="2610" w:type="dxa"/>
            <w:tcBorders>
              <w:top w:val="single" w:color="auto" w:sz="4" w:space="0"/>
              <w:left w:val="single" w:color="auto" w:sz="4" w:space="0"/>
              <w:bottom w:val="single" w:color="auto" w:sz="4" w:space="0"/>
              <w:right w:val="single" w:color="auto" w:sz="4" w:space="0"/>
            </w:tcBorders>
            <w:noWrap/>
            <w:vAlign w:val="bottom"/>
          </w:tcPr>
          <w:p>
            <w:pPr>
              <w:jc w:val="center"/>
              <w:rPr>
                <w:rFonts w:ascii="宋体" w:cs="宋体"/>
                <w:bCs/>
                <w:sz w:val="24"/>
              </w:rPr>
            </w:pPr>
          </w:p>
          <w:p>
            <w:pPr>
              <w:jc w:val="center"/>
              <w:rPr>
                <w:rFonts w:ascii="宋体" w:cs="宋体"/>
                <w:bCs/>
                <w:sz w:val="24"/>
              </w:rPr>
            </w:pPr>
          </w:p>
          <w:p>
            <w:pPr>
              <w:jc w:val="center"/>
              <w:rPr>
                <w:rFonts w:ascii="宋体" w:cs="宋体"/>
                <w:bCs/>
                <w:sz w:val="24"/>
              </w:rPr>
            </w:pPr>
          </w:p>
          <w:p>
            <w:pPr>
              <w:jc w:val="center"/>
              <w:rPr>
                <w:rFonts w:ascii="宋体" w:cs="宋体"/>
                <w:bCs/>
                <w:sz w:val="24"/>
              </w:rPr>
            </w:pPr>
          </w:p>
          <w:p>
            <w:pPr>
              <w:jc w:val="center"/>
              <w:rPr>
                <w:rFonts w:ascii="宋体" w:cs="宋体"/>
                <w:bCs/>
                <w:sz w:val="24"/>
              </w:rPr>
            </w:pPr>
          </w:p>
          <w:p>
            <w:pPr>
              <w:jc w:val="center"/>
              <w:rPr>
                <w:rFonts w:ascii="宋体" w:cs="宋体"/>
                <w:bCs/>
                <w:sz w:val="24"/>
              </w:rPr>
            </w:pPr>
          </w:p>
          <w:p>
            <w:pPr>
              <w:jc w:val="center"/>
              <w:rPr>
                <w:rFonts w:ascii="宋体" w:cs="宋体"/>
                <w:bCs/>
                <w:sz w:val="24"/>
              </w:rPr>
            </w:pPr>
          </w:p>
          <w:p>
            <w:pPr>
              <w:jc w:val="center"/>
              <w:rPr>
                <w:rFonts w:ascii="宋体" w:cs="宋体"/>
                <w:bCs/>
                <w:sz w:val="24"/>
              </w:rPr>
            </w:pPr>
          </w:p>
          <w:p>
            <w:pPr>
              <w:jc w:val="center"/>
              <w:rPr>
                <w:rFonts w:ascii="宋体" w:cs="宋体"/>
                <w:bCs/>
                <w:sz w:val="24"/>
              </w:rPr>
            </w:pPr>
          </w:p>
          <w:p>
            <w:pPr>
              <w:jc w:val="center"/>
              <w:rPr>
                <w:rFonts w:ascii="宋体" w:cs="宋体"/>
                <w:bCs/>
                <w:sz w:val="24"/>
              </w:rPr>
            </w:pPr>
          </w:p>
          <w:p>
            <w:pPr>
              <w:jc w:val="center"/>
              <w:rPr>
                <w:rFonts w:ascii="宋体" w:cs="宋体"/>
                <w:bCs/>
                <w:sz w:val="24"/>
              </w:rPr>
            </w:pPr>
            <w:r>
              <w:rPr>
                <w:rFonts w:hint="eastAsia" w:ascii="宋体" w:cs="宋体"/>
                <w:bCs/>
                <w:sz w:val="24"/>
              </w:rPr>
              <w:t>指派团队责任心和社会评价情况</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cs="宋体"/>
                <w:b/>
                <w:sz w:val="24"/>
              </w:rPr>
            </w:pPr>
            <w:r>
              <w:rPr>
                <w:rFonts w:hint="eastAsia" w:ascii="宋体" w:cs="宋体"/>
                <w:b/>
                <w:sz w:val="24"/>
              </w:rPr>
              <w:t>基础分：</w:t>
            </w:r>
          </w:p>
          <w:p>
            <w:pPr>
              <w:widowControl/>
              <w:ind w:firstLine="240" w:firstLineChars="100"/>
              <w:rPr>
                <w:rFonts w:ascii="宋体" w:cs="宋体"/>
                <w:bCs/>
                <w:sz w:val="24"/>
              </w:rPr>
            </w:pPr>
            <w:r>
              <w:rPr>
                <w:rFonts w:hint="eastAsia" w:ascii="宋体" w:cs="宋体"/>
                <w:bCs/>
                <w:sz w:val="24"/>
              </w:rPr>
              <w:t>代理团队主办律师执业15年以上计3.5分</w:t>
            </w:r>
          </w:p>
          <w:p>
            <w:pPr>
              <w:widowControl/>
              <w:ind w:firstLine="240" w:firstLineChars="100"/>
              <w:rPr>
                <w:rFonts w:ascii="宋体" w:cs="宋体"/>
                <w:bCs/>
                <w:sz w:val="24"/>
              </w:rPr>
            </w:pPr>
            <w:r>
              <w:rPr>
                <w:rFonts w:hint="eastAsia" w:ascii="宋体" w:cs="宋体"/>
                <w:bCs/>
                <w:sz w:val="24"/>
              </w:rPr>
              <w:t>代理团队主办律师执业10年以上计2.5分</w:t>
            </w:r>
          </w:p>
          <w:p>
            <w:pPr>
              <w:widowControl/>
              <w:ind w:firstLine="240" w:firstLineChars="100"/>
              <w:rPr>
                <w:rFonts w:ascii="宋体" w:cs="宋体"/>
                <w:bCs/>
                <w:sz w:val="24"/>
              </w:rPr>
            </w:pPr>
            <w:r>
              <w:rPr>
                <w:rFonts w:hint="eastAsia" w:ascii="宋体" w:cs="宋体"/>
                <w:bCs/>
                <w:sz w:val="24"/>
              </w:rPr>
              <w:t>代理团队主办律师执业5年以上计1.5分</w:t>
            </w:r>
          </w:p>
          <w:p>
            <w:pPr>
              <w:widowControl/>
              <w:ind w:firstLine="240" w:firstLineChars="100"/>
              <w:rPr>
                <w:rFonts w:ascii="宋体" w:cs="宋体"/>
                <w:bCs/>
                <w:sz w:val="24"/>
              </w:rPr>
            </w:pPr>
            <w:r>
              <w:rPr>
                <w:rFonts w:hint="eastAsia" w:ascii="宋体" w:cs="宋体"/>
                <w:bCs/>
                <w:sz w:val="24"/>
              </w:rPr>
              <w:t xml:space="preserve">代理团队主办律师执业5年以下计0分  </w:t>
            </w:r>
          </w:p>
          <w:p>
            <w:pPr>
              <w:widowControl/>
              <w:ind w:firstLine="240" w:firstLineChars="100"/>
              <w:rPr>
                <w:rFonts w:ascii="宋体" w:cs="宋体"/>
                <w:bCs/>
                <w:sz w:val="24"/>
              </w:rPr>
            </w:pPr>
          </w:p>
          <w:p>
            <w:pPr>
              <w:widowControl/>
              <w:rPr>
                <w:rFonts w:ascii="宋体" w:cs="宋体"/>
                <w:b/>
                <w:sz w:val="24"/>
              </w:rPr>
            </w:pPr>
            <w:r>
              <w:rPr>
                <w:rFonts w:hint="eastAsia" w:ascii="宋体" w:cs="宋体"/>
                <w:b/>
                <w:sz w:val="24"/>
              </w:rPr>
              <w:t>加减分项目：</w:t>
            </w:r>
          </w:p>
          <w:p>
            <w:pPr>
              <w:widowControl/>
              <w:tabs>
                <w:tab w:val="left" w:pos="0"/>
              </w:tabs>
              <w:ind w:left="210" w:leftChars="100"/>
              <w:rPr>
                <w:rFonts w:ascii="宋体" w:cs="宋体"/>
                <w:bCs/>
                <w:sz w:val="24"/>
              </w:rPr>
            </w:pPr>
            <w:r>
              <w:rPr>
                <w:rFonts w:hint="eastAsia" w:ascii="宋体" w:cs="宋体"/>
                <w:bCs/>
                <w:sz w:val="24"/>
              </w:rPr>
              <w:t>近五年内律所或团队律师获奖、任职情况（包括国内国外，最多加2.5分）</w:t>
            </w:r>
          </w:p>
          <w:p>
            <w:pPr>
              <w:widowControl/>
              <w:spacing w:after="120"/>
              <w:ind w:firstLine="240" w:firstLineChars="100"/>
              <w:rPr>
                <w:rFonts w:ascii="宋体" w:cs="宋体"/>
                <w:bCs/>
                <w:sz w:val="24"/>
              </w:rPr>
            </w:pPr>
            <w:r>
              <w:rPr>
                <w:rFonts w:hint="eastAsia" w:ascii="宋体" w:cs="宋体"/>
                <w:bCs/>
                <w:sz w:val="24"/>
              </w:rPr>
              <w:t>律所获律协优秀律师事务所称号的加0.5分</w:t>
            </w:r>
          </w:p>
          <w:p>
            <w:pPr>
              <w:widowControl/>
              <w:spacing w:after="120"/>
              <w:ind w:firstLine="240" w:firstLineChars="100"/>
              <w:rPr>
                <w:rFonts w:ascii="宋体" w:cs="宋体"/>
                <w:bCs/>
                <w:sz w:val="24"/>
              </w:rPr>
            </w:pPr>
            <w:r>
              <w:rPr>
                <w:rFonts w:hint="eastAsia" w:ascii="宋体" w:cs="宋体"/>
                <w:bCs/>
                <w:sz w:val="24"/>
              </w:rPr>
              <w:t>承办律师获得市级以上律协优秀律师称号的加0.5分</w:t>
            </w:r>
          </w:p>
          <w:p>
            <w:pPr>
              <w:widowControl/>
              <w:ind w:firstLine="240" w:firstLineChars="100"/>
              <w:rPr>
                <w:rFonts w:ascii="宋体" w:cs="宋体"/>
                <w:bCs/>
                <w:sz w:val="24"/>
              </w:rPr>
            </w:pPr>
            <w:r>
              <w:rPr>
                <w:rFonts w:hint="eastAsia" w:ascii="宋体" w:cs="宋体"/>
                <w:bCs/>
                <w:sz w:val="24"/>
              </w:rPr>
              <w:t>承办律师为律所主任或高级合伙人的加0.5分</w:t>
            </w:r>
          </w:p>
          <w:p>
            <w:pPr>
              <w:widowControl/>
              <w:ind w:firstLine="240" w:firstLineChars="100"/>
              <w:rPr>
                <w:rFonts w:ascii="宋体" w:cs="宋体"/>
                <w:bCs/>
                <w:sz w:val="24"/>
              </w:rPr>
            </w:pPr>
            <w:r>
              <w:rPr>
                <w:rFonts w:hint="eastAsia" w:ascii="宋体" w:cs="宋体"/>
                <w:bCs/>
                <w:sz w:val="24"/>
              </w:rPr>
              <w:t>承办律师有房地产建筑方面专业律师资质的加1分</w:t>
            </w:r>
          </w:p>
          <w:p>
            <w:pPr>
              <w:widowControl/>
              <w:ind w:firstLine="240" w:firstLineChars="100"/>
              <w:rPr>
                <w:rFonts w:ascii="宋体" w:cs="宋体"/>
                <w:bCs/>
                <w:sz w:val="24"/>
              </w:rPr>
            </w:pPr>
            <w:r>
              <w:rPr>
                <w:rFonts w:hint="eastAsia" w:ascii="宋体" w:cs="宋体"/>
                <w:bCs/>
                <w:sz w:val="24"/>
              </w:rPr>
              <w:t>律所或团队律师近二年内受过司法行政机关处罚的减1分</w:t>
            </w:r>
          </w:p>
        </w:tc>
        <w:tc>
          <w:tcPr>
            <w:tcW w:w="825"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cs="宋体"/>
                <w:sz w:val="24"/>
              </w:rPr>
            </w:pPr>
          </w:p>
          <w:p>
            <w:pPr>
              <w:widowControl/>
              <w:jc w:val="center"/>
              <w:rPr>
                <w:rFonts w:ascii="宋体" w:cs="宋体"/>
                <w:sz w:val="24"/>
              </w:rPr>
            </w:pPr>
            <w:r>
              <w:rPr>
                <w:rFonts w:hint="eastAsia" w:ascii="宋体" w:cs="宋体"/>
                <w:sz w:val="24"/>
              </w:rPr>
              <w:t>6分</w:t>
            </w:r>
          </w:p>
        </w:tc>
        <w:tc>
          <w:tcPr>
            <w:tcW w:w="84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sz w:val="24"/>
              </w:rPr>
            </w:pPr>
            <w:r>
              <w:rPr>
                <w:rFonts w:hint="eastAsia" w:ascii="宋体" w:cs="宋体"/>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41" w:hRule="atLeast"/>
          <w:tblCellSpacing w:w="0" w:type="dxa"/>
        </w:trPr>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sz w:val="24"/>
              </w:rPr>
            </w:pPr>
            <w:r>
              <w:rPr>
                <w:rFonts w:ascii="宋体" w:cs="宋体"/>
                <w:sz w:val="24"/>
              </w:rPr>
              <w:t>6</w:t>
            </w:r>
          </w:p>
        </w:tc>
        <w:tc>
          <w:tcPr>
            <w:tcW w:w="1480"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cs="宋体"/>
                <w:bCs/>
                <w:sz w:val="24"/>
              </w:rPr>
            </w:pPr>
            <w:r>
              <w:rPr>
                <w:rFonts w:hint="eastAsia" w:ascii="宋体" w:cs="宋体"/>
                <w:b/>
                <w:bCs/>
                <w:sz w:val="24"/>
              </w:rPr>
              <w:t>代理费报价</w:t>
            </w:r>
          </w:p>
        </w:tc>
        <w:tc>
          <w:tcPr>
            <w:tcW w:w="5850"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cs="宋体"/>
                <w:bCs/>
                <w:sz w:val="24"/>
              </w:rPr>
            </w:pPr>
            <w:r>
              <w:rPr>
                <w:rFonts w:hint="eastAsia" w:ascii="宋体" w:cs="宋体"/>
                <w:bCs/>
                <w:sz w:val="24"/>
              </w:rPr>
              <w:t>本金部分代理费收取报价30分；非本金部分，即利息、违约金、停窝工损失索赔部分报价5分。</w:t>
            </w:r>
          </w:p>
          <w:p>
            <w:pPr>
              <w:widowControl/>
              <w:rPr>
                <w:rFonts w:ascii="宋体" w:cs="宋体"/>
                <w:bCs/>
                <w:sz w:val="24"/>
              </w:rPr>
            </w:pPr>
            <w:r>
              <w:rPr>
                <w:rFonts w:hint="eastAsia" w:ascii="宋体" w:cs="宋体"/>
                <w:bCs/>
                <w:sz w:val="24"/>
              </w:rPr>
              <w:t>计分规则：以各投标人报价的算术平均价为基准价（以万元为单位，保留两位小数）。</w:t>
            </w:r>
          </w:p>
          <w:p>
            <w:pPr>
              <w:widowControl/>
              <w:rPr>
                <w:rFonts w:ascii="宋体" w:cs="宋体"/>
                <w:bCs/>
                <w:sz w:val="24"/>
              </w:rPr>
            </w:pPr>
            <w:r>
              <w:rPr>
                <w:rFonts w:hint="eastAsia" w:ascii="宋体" w:cs="宋体"/>
                <w:bCs/>
                <w:sz w:val="24"/>
              </w:rPr>
              <w:t>总分=投标人本金报价得分+非本金部分报价得分</w:t>
            </w:r>
          </w:p>
          <w:p>
            <w:pPr>
              <w:widowControl/>
              <w:rPr>
                <w:rFonts w:ascii="宋体" w:cs="宋体"/>
                <w:bCs/>
                <w:sz w:val="24"/>
              </w:rPr>
            </w:pPr>
            <w:r>
              <w:rPr>
                <w:rFonts w:hint="eastAsia" w:ascii="宋体" w:cs="宋体"/>
                <w:bCs/>
                <w:sz w:val="24"/>
              </w:rPr>
              <w:t>投标人本金报价得分为 =</w:t>
            </w:r>
            <w:r>
              <w:rPr>
                <w:rFonts w:ascii="宋体" w:cs="宋体"/>
                <w:bCs/>
                <w:sz w:val="24"/>
              </w:rPr>
              <w:t xml:space="preserve"> </w:t>
            </w:r>
            <w:r>
              <w:rPr>
                <w:rFonts w:hint="eastAsia" w:ascii="宋体" w:cs="宋体"/>
                <w:bCs/>
                <w:sz w:val="24"/>
              </w:rPr>
              <w:t>30-（投标报价-基准价）/0.5%；非本金部分报价得分为 =</w:t>
            </w:r>
            <w:r>
              <w:rPr>
                <w:rFonts w:ascii="宋体" w:cs="宋体"/>
                <w:bCs/>
                <w:sz w:val="24"/>
              </w:rPr>
              <w:t xml:space="preserve"> </w:t>
            </w:r>
            <w:r>
              <w:rPr>
                <w:rFonts w:hint="eastAsia" w:ascii="宋体" w:cs="宋体"/>
                <w:bCs/>
                <w:sz w:val="24"/>
              </w:rPr>
              <w:t>5-（投标报价-基准价）/0.5%；如“投标报价-基准价”为负，则去掉负号计算。</w:t>
            </w:r>
          </w:p>
        </w:tc>
        <w:tc>
          <w:tcPr>
            <w:tcW w:w="82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 w:val="24"/>
              </w:rPr>
            </w:pPr>
            <w:r>
              <w:rPr>
                <w:rFonts w:hint="eastAsia" w:ascii="宋体" w:cs="宋体"/>
                <w:sz w:val="24"/>
              </w:rPr>
              <w:t>35分</w:t>
            </w:r>
          </w:p>
        </w:tc>
        <w:tc>
          <w:tcPr>
            <w:tcW w:w="84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71" w:hRule="atLeast"/>
          <w:tblCellSpacing w:w="0" w:type="dxa"/>
        </w:trPr>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sz w:val="24"/>
              </w:rPr>
            </w:pPr>
            <w:r>
              <w:rPr>
                <w:rFonts w:ascii="宋体" w:cs="宋体"/>
                <w:sz w:val="24"/>
              </w:rPr>
              <w:t>7</w:t>
            </w:r>
          </w:p>
        </w:tc>
        <w:tc>
          <w:tcPr>
            <w:tcW w:w="1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sz w:val="24"/>
              </w:rPr>
            </w:pPr>
            <w:r>
              <w:rPr>
                <w:rFonts w:hint="eastAsia" w:ascii="宋体" w:cs="宋体"/>
                <w:b/>
                <w:bCs/>
                <w:sz w:val="24"/>
              </w:rPr>
              <w:t>总分</w:t>
            </w:r>
          </w:p>
        </w:tc>
        <w:tc>
          <w:tcPr>
            <w:tcW w:w="5850"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bCs/>
                <w:sz w:val="24"/>
              </w:rPr>
            </w:pPr>
          </w:p>
        </w:tc>
        <w:tc>
          <w:tcPr>
            <w:tcW w:w="82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 w:val="24"/>
              </w:rPr>
            </w:pPr>
            <w:r>
              <w:rPr>
                <w:rFonts w:hint="eastAsia" w:ascii="宋体" w:cs="宋体"/>
                <w:sz w:val="24"/>
              </w:rPr>
              <w:t>100分</w:t>
            </w:r>
          </w:p>
        </w:tc>
        <w:tc>
          <w:tcPr>
            <w:tcW w:w="84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sz w:val="24"/>
              </w:rPr>
            </w:pPr>
          </w:p>
        </w:tc>
      </w:tr>
    </w:tbl>
    <w:p>
      <w:pPr>
        <w:rPr>
          <w:rFonts w:ascii="宋体" w:cs="宋体"/>
          <w:vanish/>
        </w:rPr>
      </w:pPr>
    </w:p>
    <w:tbl>
      <w:tblPr>
        <w:tblStyle w:val="14"/>
        <w:tblpPr w:leftFromText="180" w:rightFromText="180" w:vertAnchor="page" w:horzAnchor="margin" w:tblpXSpec="center" w:tblpY="1604"/>
        <w:tblW w:w="0" w:type="auto"/>
        <w:tblInd w:w="0" w:type="dxa"/>
        <w:tblLayout w:type="fixed"/>
        <w:tblCellMar>
          <w:top w:w="0" w:type="dxa"/>
          <w:left w:w="108" w:type="dxa"/>
          <w:bottom w:w="0" w:type="dxa"/>
          <w:right w:w="108" w:type="dxa"/>
        </w:tblCellMar>
      </w:tblPr>
      <w:tblGrid>
        <w:gridCol w:w="15134"/>
      </w:tblGrid>
      <w:tr>
        <w:tblPrEx>
          <w:tblCellMar>
            <w:top w:w="0" w:type="dxa"/>
            <w:left w:w="108" w:type="dxa"/>
            <w:bottom w:w="0" w:type="dxa"/>
            <w:right w:w="108" w:type="dxa"/>
          </w:tblCellMar>
        </w:tblPrEx>
        <w:trPr>
          <w:trHeight w:val="519" w:hRule="atLeast"/>
        </w:trPr>
        <w:tc>
          <w:tcPr>
            <w:tcW w:w="15134" w:type="dxa"/>
            <w:tcBorders>
              <w:top w:val="nil"/>
              <w:left w:val="nil"/>
              <w:bottom w:val="nil"/>
              <w:right w:val="nil"/>
            </w:tcBorders>
            <w:noWrap/>
            <w:vAlign w:val="center"/>
          </w:tcPr>
          <w:p>
            <w:pPr>
              <w:widowControl/>
              <w:spacing w:line="266" w:lineRule="atLeast"/>
              <w:jc w:val="left"/>
              <w:rPr>
                <w:rFonts w:ascii="宋体" w:cs="宋体"/>
                <w:spacing w:val="12"/>
                <w:kern w:val="0"/>
                <w:sz w:val="24"/>
              </w:rPr>
            </w:pPr>
          </w:p>
        </w:tc>
      </w:tr>
    </w:tbl>
    <w:p>
      <w:pPr>
        <w:spacing w:line="440" w:lineRule="exact"/>
        <w:rPr>
          <w:rFonts w:ascii="宋体" w:cs="宋体"/>
          <w:b/>
          <w:sz w:val="24"/>
        </w:rPr>
      </w:pPr>
    </w:p>
    <w:p>
      <w:pPr>
        <w:spacing w:line="440" w:lineRule="exact"/>
        <w:rPr>
          <w:rFonts w:ascii="宋体" w:cs="宋体"/>
          <w:b/>
          <w:sz w:val="24"/>
        </w:rPr>
      </w:pPr>
      <w:r>
        <w:rPr>
          <w:rFonts w:hint="eastAsia" w:ascii="宋体" w:cs="宋体"/>
          <w:b/>
          <w:sz w:val="24"/>
        </w:rPr>
        <w:t>6.3 评标原则与评标步骤</w:t>
      </w:r>
    </w:p>
    <w:p>
      <w:pPr>
        <w:spacing w:line="440" w:lineRule="exact"/>
        <w:rPr>
          <w:rFonts w:ascii="宋体" w:cs="宋体"/>
          <w:bCs/>
          <w:sz w:val="24"/>
        </w:rPr>
      </w:pPr>
      <w:r>
        <w:rPr>
          <w:rFonts w:hint="eastAsia" w:ascii="宋体" w:cs="宋体"/>
          <w:bCs/>
          <w:sz w:val="24"/>
        </w:rPr>
        <w:t>6.3.1 本次招标将采用综合评审办法进行评审，评审标准见本章6.2，分部分分别评分再汇总，根据综合评审原则选择中介机构。</w:t>
      </w:r>
    </w:p>
    <w:p>
      <w:pPr>
        <w:spacing w:line="440" w:lineRule="exact"/>
        <w:ind w:firstLine="480" w:firstLineChars="200"/>
        <w:rPr>
          <w:rFonts w:ascii="宋体" w:cs="宋体"/>
          <w:bCs/>
          <w:sz w:val="24"/>
        </w:rPr>
      </w:pPr>
      <w:r>
        <w:rPr>
          <w:rFonts w:hint="eastAsia" w:ascii="宋体" w:cs="宋体"/>
          <w:bCs/>
          <w:sz w:val="24"/>
        </w:rPr>
        <w:t>(1）公司运营管理部门负责组织评标小组以及评标活动。</w:t>
      </w:r>
    </w:p>
    <w:p>
      <w:pPr>
        <w:spacing w:line="440" w:lineRule="exact"/>
        <w:ind w:firstLine="360" w:firstLineChars="150"/>
        <w:rPr>
          <w:rFonts w:ascii="宋体" w:cs="宋体"/>
          <w:bCs/>
          <w:sz w:val="24"/>
        </w:rPr>
      </w:pPr>
      <w:r>
        <w:rPr>
          <w:rFonts w:hint="eastAsia" w:ascii="宋体" w:cs="宋体"/>
          <w:bCs/>
          <w:sz w:val="24"/>
        </w:rPr>
        <w:t>（2）评标小组各成员根据招标文件规定的评标指标和评审标准对投标单位的报价进行评审，对作出实质性响应的投标文件进行评审、发表意见、打分并签字确认。对未作出实质性响应或者存在取消资格的投标文件予以备注“废弃”，不进行评分。</w:t>
      </w:r>
    </w:p>
    <w:p>
      <w:pPr>
        <w:spacing w:line="440" w:lineRule="exact"/>
        <w:ind w:firstLine="360" w:firstLineChars="150"/>
        <w:rPr>
          <w:rFonts w:ascii="宋体" w:cs="宋体"/>
          <w:bCs/>
          <w:sz w:val="24"/>
        </w:rPr>
      </w:pPr>
      <w:r>
        <w:rPr>
          <w:rFonts w:hint="eastAsia" w:ascii="宋体" w:cs="宋体"/>
          <w:bCs/>
          <w:sz w:val="24"/>
        </w:rPr>
        <w:t>（3）评标小组根据各评标成员的评分意见进行汇总，根据最后得分高低确定中标候选人顺序，以得分高低排序依次为第一中标候选人、第二中标候选人，形成定标报告并签字确认。</w:t>
      </w:r>
    </w:p>
    <w:p>
      <w:pPr>
        <w:spacing w:line="440" w:lineRule="exact"/>
        <w:rPr>
          <w:rFonts w:ascii="宋体" w:cs="宋体"/>
          <w:bCs/>
          <w:sz w:val="24"/>
        </w:rPr>
      </w:pPr>
      <w:r>
        <w:rPr>
          <w:rFonts w:hint="eastAsia" w:ascii="宋体" w:cs="宋体"/>
          <w:bCs/>
          <w:sz w:val="24"/>
        </w:rPr>
        <w:t xml:space="preserve">   （4）评标小组共同签署定标报告，第一中标候选人为中标人并即时在我司官网公布。</w:t>
      </w:r>
    </w:p>
    <w:p>
      <w:pPr>
        <w:spacing w:line="440" w:lineRule="exact"/>
        <w:rPr>
          <w:rFonts w:ascii="宋体" w:cs="宋体"/>
          <w:bCs/>
          <w:sz w:val="24"/>
        </w:rPr>
      </w:pPr>
      <w:r>
        <w:rPr>
          <w:rFonts w:hint="eastAsia" w:ascii="宋体" w:cs="宋体"/>
          <w:bCs/>
          <w:sz w:val="24"/>
        </w:rPr>
        <w:t>6.4 招标过程中，当出现重大变故，招标任务取消时，称为招标终止，招标人可根据实际情况终止招标和评标，并向已领取招标文件的投标人书面说明情况。</w:t>
      </w:r>
    </w:p>
    <w:p>
      <w:pPr>
        <w:spacing w:line="440" w:lineRule="exact"/>
        <w:rPr>
          <w:rFonts w:ascii="宋体" w:cs="宋体"/>
          <w:bCs/>
          <w:sz w:val="24"/>
        </w:rPr>
      </w:pPr>
      <w:r>
        <w:rPr>
          <w:rFonts w:hint="eastAsia" w:ascii="宋体" w:cs="宋体"/>
          <w:bCs/>
          <w:sz w:val="24"/>
        </w:rPr>
        <w:t>6.5招标过程中，当投标人不足三家、对招标文件作出实质性响应的投标人不足三家或所有投标都被否决时，称为流标，招标人有权进行重新招标。</w:t>
      </w:r>
    </w:p>
    <w:p>
      <w:pPr>
        <w:spacing w:line="440" w:lineRule="exact"/>
        <w:rPr>
          <w:rFonts w:ascii="宋体" w:cs="宋体"/>
          <w:bCs/>
          <w:sz w:val="24"/>
        </w:rPr>
      </w:pPr>
      <w:r>
        <w:rPr>
          <w:rFonts w:hint="eastAsia" w:ascii="宋体" w:cs="宋体"/>
          <w:bCs/>
          <w:sz w:val="24"/>
        </w:rPr>
        <w:t>6.6招标人无需对评标过程及未中标等原因向投标人作出解释，招标评标程序结束，确定中标人后，投标人可以查阅所有招投标存档资料，但不得复制、拍照和摄像。</w:t>
      </w:r>
    </w:p>
    <w:p>
      <w:pPr>
        <w:spacing w:line="440" w:lineRule="exact"/>
        <w:rPr>
          <w:rFonts w:ascii="宋体" w:cs="宋体"/>
          <w:b/>
          <w:bCs/>
          <w:sz w:val="24"/>
        </w:rPr>
      </w:pPr>
    </w:p>
    <w:p>
      <w:pPr>
        <w:pStyle w:val="5"/>
        <w:numPr>
          <w:ilvl w:val="0"/>
          <w:numId w:val="4"/>
        </w:numPr>
        <w:spacing w:before="0" w:after="0" w:line="440" w:lineRule="exact"/>
        <w:jc w:val="center"/>
        <w:rPr>
          <w:rFonts w:ascii="宋体" w:eastAsia="宋体" w:cs="宋体"/>
          <w:sz w:val="24"/>
          <w:szCs w:val="24"/>
        </w:rPr>
      </w:pPr>
      <w:bookmarkStart w:id="72" w:name="_Toc11424"/>
      <w:bookmarkStart w:id="73" w:name="_Toc27758"/>
      <w:r>
        <w:rPr>
          <w:rFonts w:hint="eastAsia" w:ascii="宋体" w:eastAsia="宋体" w:cs="宋体"/>
          <w:sz w:val="24"/>
          <w:szCs w:val="24"/>
        </w:rPr>
        <w:t>合同的</w:t>
      </w:r>
      <w:bookmarkEnd w:id="72"/>
      <w:bookmarkEnd w:id="73"/>
      <w:r>
        <w:rPr>
          <w:rFonts w:hint="eastAsia" w:ascii="宋体" w:eastAsia="宋体" w:cs="宋体"/>
          <w:sz w:val="24"/>
          <w:szCs w:val="24"/>
        </w:rPr>
        <w:t>签订</w:t>
      </w:r>
    </w:p>
    <w:p>
      <w:pPr>
        <w:spacing w:line="560" w:lineRule="exact"/>
        <w:rPr>
          <w:rFonts w:ascii="宋体" w:cs="宋体"/>
          <w:bCs/>
          <w:sz w:val="24"/>
        </w:rPr>
      </w:pPr>
      <w:bookmarkStart w:id="74" w:name="_Toc152045791"/>
      <w:bookmarkStart w:id="75" w:name="_Toc302376104"/>
      <w:bookmarkStart w:id="76" w:name="_Toc21233"/>
      <w:bookmarkStart w:id="77" w:name="_Toc17225"/>
      <w:bookmarkStart w:id="78" w:name="_Toc152042580"/>
      <w:bookmarkStart w:id="79" w:name="_Toc10431"/>
      <w:bookmarkStart w:id="80" w:name="_Toc2203"/>
      <w:bookmarkStart w:id="81" w:name="_Toc6776"/>
      <w:bookmarkStart w:id="82" w:name="_Toc302376102"/>
      <w:bookmarkStart w:id="83" w:name="_Toc144974860"/>
      <w:bookmarkStart w:id="84" w:name="_Toc179632811"/>
      <w:bookmarkStart w:id="85" w:name="_Toc28080"/>
      <w:bookmarkStart w:id="86" w:name="_Toc32033"/>
      <w:r>
        <w:rPr>
          <w:rFonts w:hint="eastAsia" w:ascii="宋体" w:cs="宋体"/>
          <w:b/>
          <w:sz w:val="24"/>
        </w:rPr>
        <w:t>7.1</w:t>
      </w:r>
      <w:r>
        <w:rPr>
          <w:rFonts w:hint="eastAsia" w:ascii="宋体" w:cs="宋体"/>
          <w:bCs/>
          <w:sz w:val="24"/>
        </w:rPr>
        <w:t>招标人将在公司官网发布中标公示。中标人须</w:t>
      </w:r>
      <w:r>
        <w:rPr>
          <w:rFonts w:hint="eastAsia" w:ascii="宋体" w:cs="宋体"/>
          <w:bCs/>
          <w:sz w:val="24"/>
          <w:shd w:val="clear" w:color="auto" w:fill="FFFFFF"/>
        </w:rPr>
        <w:t>在中标公示发布当日起</w:t>
      </w:r>
      <w:r>
        <w:rPr>
          <w:rFonts w:hint="eastAsia" w:ascii="宋体" w:cs="宋体"/>
          <w:b/>
          <w:bCs/>
          <w:sz w:val="24"/>
          <w:u w:val="single"/>
          <w:shd w:val="clear" w:color="auto" w:fill="FFFFFF"/>
        </w:rPr>
        <w:t>5个工作日内</w:t>
      </w:r>
      <w:r>
        <w:rPr>
          <w:rFonts w:hint="eastAsia" w:ascii="宋体" w:cs="宋体"/>
          <w:bCs/>
          <w:sz w:val="24"/>
          <w:shd w:val="clear" w:color="auto" w:fill="FFFFFF"/>
        </w:rPr>
        <w:t>签订合同。</w:t>
      </w:r>
    </w:p>
    <w:p>
      <w:pPr>
        <w:spacing w:line="560" w:lineRule="exact"/>
        <w:rPr>
          <w:rFonts w:ascii="宋体" w:cs="宋体"/>
          <w:sz w:val="24"/>
        </w:rPr>
      </w:pPr>
      <w:r>
        <w:rPr>
          <w:rFonts w:hint="eastAsia" w:ascii="宋体" w:cs="宋体"/>
          <w:b/>
          <w:sz w:val="24"/>
        </w:rPr>
        <w:t>7.2</w:t>
      </w:r>
      <w:r>
        <w:rPr>
          <w:rFonts w:hint="eastAsia" w:ascii="宋体" w:cs="宋体"/>
          <w:sz w:val="24"/>
        </w:rPr>
        <w:t>若第一中标候选人在规定中标时间内拒不签订合同或书面表示放弃此次中标，招标人将选取第二中标候选人；若第二中标候选人拒绝签订合同，则该招标项目流标，招标人将按规定重新招标。</w:t>
      </w:r>
      <w:bookmarkEnd w:id="74"/>
      <w:bookmarkEnd w:id="75"/>
      <w:bookmarkEnd w:id="76"/>
      <w:bookmarkEnd w:id="77"/>
      <w:bookmarkEnd w:id="78"/>
      <w:bookmarkEnd w:id="79"/>
      <w:bookmarkEnd w:id="80"/>
      <w:bookmarkEnd w:id="81"/>
      <w:bookmarkEnd w:id="82"/>
      <w:bookmarkEnd w:id="83"/>
      <w:bookmarkEnd w:id="84"/>
      <w:bookmarkEnd w:id="85"/>
      <w:bookmarkEnd w:id="86"/>
    </w:p>
    <w:p>
      <w:pPr>
        <w:spacing w:line="560" w:lineRule="exact"/>
        <w:rPr>
          <w:rFonts w:ascii="宋体" w:cs="宋体"/>
          <w:sz w:val="24"/>
        </w:rPr>
      </w:pPr>
      <w:r>
        <w:rPr>
          <w:rFonts w:hint="eastAsia" w:ascii="宋体" w:cs="宋体"/>
          <w:b/>
          <w:bCs/>
          <w:sz w:val="24"/>
        </w:rPr>
        <w:t>7.3</w:t>
      </w:r>
      <w:r>
        <w:rPr>
          <w:rFonts w:hint="eastAsia" w:ascii="宋体" w:cs="宋体"/>
          <w:sz w:val="24"/>
        </w:rPr>
        <w:t>未经招标人许可，投标人在报纸、微博、微信、网站等媒介上发布有关招标人法律服务招标、中标、案件情况以及与案件有关的信息的，招标人有权废标，终止签订合同。已签订代理合同的招标人有权单方面解除合同。</w:t>
      </w:r>
    </w:p>
    <w:p>
      <w:pPr>
        <w:spacing w:line="560" w:lineRule="exact"/>
        <w:rPr>
          <w:rFonts w:ascii="宋体" w:cs="宋体"/>
          <w:sz w:val="24"/>
        </w:rPr>
      </w:pPr>
      <w:r>
        <w:rPr>
          <w:rFonts w:hint="eastAsia" w:ascii="宋体" w:cs="宋体"/>
          <w:b/>
          <w:sz w:val="24"/>
        </w:rPr>
        <w:t>7.4</w:t>
      </w:r>
      <w:r>
        <w:rPr>
          <w:rFonts w:hint="eastAsia" w:ascii="宋体" w:cs="宋体"/>
          <w:b/>
          <w:bCs/>
          <w:kern w:val="44"/>
          <w:sz w:val="24"/>
        </w:rPr>
        <w:t>主要合同条款</w:t>
      </w:r>
    </w:p>
    <w:p>
      <w:pPr>
        <w:spacing w:line="560" w:lineRule="exact"/>
        <w:rPr>
          <w:rFonts w:ascii="宋体" w:cs="宋体"/>
          <w:sz w:val="24"/>
        </w:rPr>
      </w:pPr>
      <w:r>
        <w:rPr>
          <w:rFonts w:hint="eastAsia" w:ascii="宋体" w:cs="宋体"/>
          <w:sz w:val="24"/>
        </w:rPr>
        <w:t>专项法律服务合同应当具有以下主要合同条款（具体合同条款以双方最终协商签订代理合同内容为准）：</w:t>
      </w:r>
    </w:p>
    <w:p>
      <w:pPr>
        <w:pStyle w:val="3"/>
        <w:rPr>
          <w:rFonts w:ascii="宋体" w:eastAsia="宋体" w:cs="宋体"/>
        </w:rPr>
      </w:pPr>
    </w:p>
    <w:p>
      <w:pPr>
        <w:widowControl/>
        <w:jc w:val="left"/>
        <w:rPr>
          <w:rFonts w:ascii="宋体" w:cs="宋体"/>
          <w:b/>
          <w:sz w:val="36"/>
          <w:szCs w:val="36"/>
        </w:rPr>
      </w:pPr>
      <w:r>
        <w:rPr>
          <w:rFonts w:ascii="宋体" w:cs="宋体"/>
          <w:b/>
          <w:sz w:val="36"/>
          <w:szCs w:val="36"/>
        </w:rPr>
        <w:br w:type="page"/>
      </w:r>
    </w:p>
    <w:p>
      <w:pPr>
        <w:spacing w:line="560" w:lineRule="exact"/>
        <w:jc w:val="center"/>
        <w:rPr>
          <w:rFonts w:ascii="宋体" w:cs="宋体"/>
          <w:b/>
          <w:sz w:val="36"/>
          <w:szCs w:val="36"/>
        </w:rPr>
      </w:pPr>
      <w:r>
        <w:rPr>
          <w:rFonts w:hint="eastAsia" w:ascii="宋体" w:cs="宋体"/>
          <w:b/>
          <w:sz w:val="36"/>
          <w:szCs w:val="36"/>
        </w:rPr>
        <w:t>委托代理合同（格式）</w:t>
      </w:r>
    </w:p>
    <w:p>
      <w:pPr>
        <w:spacing w:line="560" w:lineRule="exact"/>
        <w:ind w:firstLine="480" w:firstLineChars="200"/>
        <w:rPr>
          <w:rFonts w:ascii="宋体" w:cs="宋体"/>
          <w:sz w:val="24"/>
        </w:rPr>
      </w:pPr>
    </w:p>
    <w:p>
      <w:pPr>
        <w:spacing w:line="560" w:lineRule="exact"/>
        <w:ind w:firstLine="480" w:firstLineChars="200"/>
        <w:rPr>
          <w:rFonts w:ascii="宋体" w:cs="宋体"/>
          <w:sz w:val="24"/>
        </w:rPr>
      </w:pPr>
      <w:r>
        <w:rPr>
          <w:rFonts w:hint="eastAsia" w:ascii="宋体" w:cs="宋体"/>
          <w:sz w:val="24"/>
        </w:rPr>
        <w:t>委托人（以下简称甲方）：四川省第六建筑有限公司                                　　</w:t>
      </w:r>
    </w:p>
    <w:p>
      <w:pPr>
        <w:spacing w:line="560" w:lineRule="exact"/>
        <w:ind w:firstLine="480" w:firstLineChars="200"/>
        <w:rPr>
          <w:rFonts w:ascii="宋体" w:cs="宋体"/>
          <w:sz w:val="24"/>
        </w:rPr>
      </w:pPr>
      <w:r>
        <w:rPr>
          <w:rFonts w:hint="eastAsia" w:ascii="宋体" w:cs="宋体"/>
          <w:sz w:val="24"/>
        </w:rPr>
        <w:t>地址：成都市金牛区星辉中路16</w:t>
      </w:r>
      <w:r>
        <w:rPr>
          <w:rFonts w:ascii="宋体" w:cs="宋体"/>
          <w:sz w:val="24"/>
        </w:rPr>
        <w:t>号</w:t>
      </w:r>
      <w:r>
        <w:rPr>
          <w:rFonts w:hint="eastAsia" w:ascii="宋体" w:cs="宋体"/>
          <w:sz w:val="24"/>
        </w:rPr>
        <w:t xml:space="preserve">                                            　　</w:t>
      </w:r>
    </w:p>
    <w:p>
      <w:pPr>
        <w:spacing w:line="560" w:lineRule="exact"/>
        <w:ind w:firstLine="480" w:firstLineChars="200"/>
        <w:rPr>
          <w:rFonts w:ascii="宋体" w:cs="宋体"/>
          <w:sz w:val="24"/>
        </w:rPr>
      </w:pPr>
    </w:p>
    <w:p>
      <w:pPr>
        <w:spacing w:line="560" w:lineRule="exact"/>
        <w:ind w:firstLine="480" w:firstLineChars="200"/>
        <w:rPr>
          <w:rFonts w:ascii="宋体" w:cs="宋体"/>
          <w:sz w:val="24"/>
        </w:rPr>
      </w:pPr>
      <w:r>
        <w:rPr>
          <w:rFonts w:hint="eastAsia" w:ascii="宋体" w:cs="宋体"/>
          <w:sz w:val="24"/>
        </w:rPr>
        <w:t>受委托人（以下简称乙方）：______________________</w:t>
      </w:r>
      <w:r>
        <w:rPr>
          <w:rFonts w:ascii="宋体" w:cs="宋体"/>
          <w:sz w:val="24"/>
        </w:rPr>
        <w:t xml:space="preserve">  </w:t>
      </w:r>
    </w:p>
    <w:p>
      <w:pPr>
        <w:spacing w:line="560" w:lineRule="exact"/>
        <w:ind w:firstLine="480" w:firstLineChars="200"/>
        <w:rPr>
          <w:rFonts w:ascii="宋体" w:cs="宋体"/>
          <w:sz w:val="24"/>
        </w:rPr>
      </w:pPr>
      <w:r>
        <w:rPr>
          <w:rFonts w:hint="eastAsia" w:ascii="宋体" w:cs="宋体"/>
          <w:sz w:val="24"/>
        </w:rPr>
        <w:t>地址：__________________________________________</w:t>
      </w:r>
    </w:p>
    <w:p>
      <w:pPr>
        <w:spacing w:line="560" w:lineRule="exact"/>
        <w:ind w:firstLine="480" w:firstLineChars="200"/>
        <w:rPr>
          <w:rFonts w:ascii="宋体" w:cs="宋体"/>
          <w:sz w:val="24"/>
        </w:rPr>
      </w:pPr>
      <w:r>
        <w:rPr>
          <w:rFonts w:hint="eastAsia" w:ascii="宋体" w:cs="宋体"/>
          <w:sz w:val="24"/>
        </w:rPr>
        <w:t>邮政编码：______________________________________</w:t>
      </w:r>
    </w:p>
    <w:p>
      <w:pPr>
        <w:spacing w:line="560" w:lineRule="exact"/>
        <w:ind w:firstLine="480" w:firstLineChars="200"/>
        <w:rPr>
          <w:rFonts w:ascii="宋体" w:cs="宋体"/>
          <w:sz w:val="24"/>
        </w:rPr>
      </w:pPr>
      <w:r>
        <w:rPr>
          <w:rFonts w:hint="eastAsia" w:ascii="宋体" w:cs="宋体"/>
          <w:sz w:val="24"/>
        </w:rPr>
        <w:t>联系电话：______________________________________</w:t>
      </w:r>
    </w:p>
    <w:p>
      <w:pPr>
        <w:spacing w:line="560" w:lineRule="exact"/>
        <w:ind w:right="482" w:firstLine="480" w:firstLineChars="200"/>
        <w:rPr>
          <w:rFonts w:ascii="宋体" w:cs="宋体"/>
          <w:sz w:val="24"/>
        </w:rPr>
      </w:pPr>
      <w:r>
        <w:rPr>
          <w:rFonts w:hint="eastAsia" w:ascii="宋体" w:cs="宋体"/>
          <w:sz w:val="24"/>
        </w:rPr>
        <w:t>根据《中华人民共和国律师法》、《中华人民共和国民事诉讼法》、《中华人民共和国民法典》等法律法规及《四川省律师服务收费管理实施办法》、《四川省律师服务收费标准》的规定，甲方就本合同所涉民事法律事务委托乙方提供法律服务。甲乙双方经协商，订立下列条款，以资共同遵守：</w:t>
      </w:r>
    </w:p>
    <w:p>
      <w:pPr>
        <w:spacing w:line="560" w:lineRule="exact"/>
        <w:rPr>
          <w:rFonts w:ascii="宋体" w:cs="宋体"/>
          <w:b/>
          <w:bCs/>
          <w:sz w:val="24"/>
        </w:rPr>
      </w:pPr>
      <w:r>
        <w:rPr>
          <w:rFonts w:hint="eastAsia" w:ascii="宋体" w:cs="宋体"/>
          <w:b/>
          <w:bCs/>
          <w:sz w:val="24"/>
        </w:rPr>
        <w:t>第一条  委托代理事项</w:t>
      </w:r>
    </w:p>
    <w:p>
      <w:pPr>
        <w:spacing w:line="560" w:lineRule="exact"/>
        <w:ind w:right="482" w:firstLine="480" w:firstLineChars="200"/>
        <w:jc w:val="left"/>
        <w:rPr>
          <w:rFonts w:ascii="宋体" w:cs="宋体"/>
          <w:sz w:val="24"/>
        </w:rPr>
      </w:pPr>
      <w:r>
        <w:rPr>
          <w:rFonts w:hint="eastAsia" w:ascii="宋体" w:cs="宋体"/>
          <w:sz w:val="24"/>
        </w:rPr>
        <w:t>（一）委托代理内容：乙方接受甲方委托经甲方同意指派_____________律师为</w:t>
      </w:r>
      <w:r>
        <w:rPr>
          <w:rFonts w:hint="eastAsia" w:ascii="宋体" w:cs="宋体"/>
          <w:sz w:val="24"/>
          <w:u w:val="single"/>
        </w:rPr>
        <w:t xml:space="preserve"> </w:t>
      </w:r>
      <w:r>
        <w:rPr>
          <w:rFonts w:ascii="宋体" w:cs="宋体"/>
          <w:sz w:val="24"/>
          <w:u w:val="single"/>
        </w:rPr>
        <w:t xml:space="preserve">               </w:t>
      </w:r>
      <w:r>
        <w:rPr>
          <w:rFonts w:hint="eastAsia" w:ascii="宋体" w:cs="宋体"/>
          <w:sz w:val="24"/>
        </w:rPr>
        <w:t xml:space="preserve">一案在下列第 </w:t>
      </w:r>
      <w:r>
        <w:rPr>
          <w:rFonts w:hint="eastAsia" w:ascii="宋体" w:cs="宋体"/>
          <w:sz w:val="24"/>
          <w:u w:val="single"/>
        </w:rPr>
        <w:t xml:space="preserve"> </w:t>
      </w:r>
      <w:r>
        <w:rPr>
          <w:rFonts w:ascii="宋体" w:cs="宋体"/>
          <w:sz w:val="24"/>
          <w:u w:val="single"/>
        </w:rPr>
        <w:t xml:space="preserve">      </w:t>
      </w:r>
      <w:r>
        <w:rPr>
          <w:rFonts w:hint="eastAsia" w:ascii="宋体" w:cs="宋体"/>
          <w:sz w:val="24"/>
        </w:rPr>
        <w:t>项约定中提供法律服务，担任代理人：</w:t>
      </w:r>
    </w:p>
    <w:p>
      <w:pPr>
        <w:spacing w:line="560" w:lineRule="exact"/>
        <w:ind w:right="482" w:firstLine="240" w:firstLineChars="100"/>
        <w:rPr>
          <w:rFonts w:ascii="宋体" w:cs="宋体"/>
          <w:sz w:val="24"/>
        </w:rPr>
      </w:pPr>
      <w:r>
        <w:rPr>
          <w:rFonts w:hint="eastAsia" w:ascii="宋体" w:cs="宋体"/>
          <w:sz w:val="24"/>
        </w:rPr>
        <w:t>1</w:t>
      </w:r>
      <w:r>
        <w:rPr>
          <w:rFonts w:ascii="宋体" w:cs="宋体"/>
          <w:sz w:val="24"/>
        </w:rPr>
        <w:t>.</w:t>
      </w:r>
      <w:r>
        <w:rPr>
          <w:rFonts w:hint="eastAsia" w:ascii="宋体" w:cs="宋体"/>
          <w:sz w:val="24"/>
        </w:rPr>
        <w:t>非诉讼阶段（至完成约定非诉事务）；</w:t>
      </w:r>
    </w:p>
    <w:p>
      <w:pPr>
        <w:spacing w:line="560" w:lineRule="exact"/>
        <w:ind w:right="482" w:firstLine="240" w:firstLineChars="100"/>
        <w:rPr>
          <w:rFonts w:ascii="宋体" w:cs="宋体"/>
          <w:sz w:val="24"/>
        </w:rPr>
      </w:pPr>
      <w:r>
        <w:rPr>
          <w:rFonts w:hint="eastAsia" w:ascii="宋体" w:cs="宋体"/>
          <w:sz w:val="24"/>
        </w:rPr>
        <w:t>2</w:t>
      </w:r>
      <w:r>
        <w:rPr>
          <w:rFonts w:ascii="宋体" w:cs="宋体"/>
          <w:sz w:val="24"/>
        </w:rPr>
        <w:t>.</w:t>
      </w:r>
      <w:r>
        <w:rPr>
          <w:rFonts w:hint="eastAsia" w:ascii="宋体" w:cs="宋体"/>
          <w:sz w:val="24"/>
        </w:rPr>
        <w:t>诉讼阶段（一审、二审、再审、执行、反诉、破产重整及财产保全程序），包括不限于：</w:t>
      </w:r>
    </w:p>
    <w:p>
      <w:pPr>
        <w:spacing w:line="560" w:lineRule="exact"/>
        <w:ind w:right="482" w:firstLine="480" w:firstLineChars="200"/>
        <w:rPr>
          <w:rFonts w:ascii="宋体" w:cs="宋体"/>
          <w:sz w:val="24"/>
        </w:rPr>
      </w:pPr>
      <w:r>
        <w:rPr>
          <w:rFonts w:hint="eastAsia" w:ascii="宋体" w:cs="宋体"/>
          <w:sz w:val="24"/>
        </w:rPr>
        <w:t>（1）组织证据材料，草拟起诉状、答辩状、代理词等各类法律文书，参与法官会见及案件庭审；</w:t>
      </w:r>
    </w:p>
    <w:p>
      <w:pPr>
        <w:spacing w:line="560" w:lineRule="exact"/>
        <w:ind w:right="482" w:firstLine="480" w:firstLineChars="200"/>
        <w:rPr>
          <w:rFonts w:ascii="宋体" w:cs="宋体"/>
          <w:sz w:val="24"/>
        </w:rPr>
      </w:pPr>
      <w:r>
        <w:rPr>
          <w:rFonts w:hint="eastAsia" w:ascii="宋体" w:cs="宋体"/>
          <w:sz w:val="24"/>
        </w:rPr>
        <w:t>（2）协助甲方与对方进行谈判并负责起草相关协议；</w:t>
      </w:r>
    </w:p>
    <w:p>
      <w:pPr>
        <w:spacing w:line="560" w:lineRule="exact"/>
        <w:ind w:right="482" w:firstLine="480" w:firstLineChars="200"/>
        <w:rPr>
          <w:rFonts w:ascii="宋体" w:cs="宋体"/>
          <w:sz w:val="24"/>
        </w:rPr>
      </w:pPr>
      <w:r>
        <w:rPr>
          <w:rFonts w:hint="eastAsia" w:ascii="宋体" w:cs="宋体"/>
          <w:sz w:val="24"/>
        </w:rPr>
        <w:t>（3）出席案件相关问题的讨论，提供法律意见、进展报告、案件总结等；</w:t>
      </w:r>
    </w:p>
    <w:p>
      <w:pPr>
        <w:spacing w:line="560" w:lineRule="exact"/>
        <w:ind w:right="482" w:firstLine="480" w:firstLineChars="200"/>
        <w:rPr>
          <w:rFonts w:ascii="宋体" w:cs="宋体"/>
          <w:sz w:val="24"/>
        </w:rPr>
      </w:pPr>
      <w:r>
        <w:rPr>
          <w:rFonts w:hint="eastAsia" w:ascii="宋体" w:cs="宋体"/>
          <w:sz w:val="24"/>
        </w:rPr>
        <w:t>（4）协助参加可能的庭外、庭内调解、和解事宜。</w:t>
      </w:r>
    </w:p>
    <w:p>
      <w:pPr>
        <w:spacing w:line="560" w:lineRule="exact"/>
        <w:ind w:right="482" w:firstLine="240" w:firstLineChars="100"/>
        <w:rPr>
          <w:rFonts w:ascii="宋体" w:cs="宋体"/>
          <w:sz w:val="24"/>
        </w:rPr>
      </w:pPr>
      <w:r>
        <w:rPr>
          <w:rFonts w:hint="eastAsia" w:ascii="宋体" w:cs="宋体"/>
          <w:sz w:val="24"/>
        </w:rPr>
        <w:t>3</w:t>
      </w:r>
      <w:r>
        <w:rPr>
          <w:rFonts w:ascii="宋体" w:cs="宋体"/>
          <w:sz w:val="24"/>
        </w:rPr>
        <w:t>.</w:t>
      </w:r>
      <w:r>
        <w:rPr>
          <w:rFonts w:hint="eastAsia" w:ascii="宋体" w:cs="宋体"/>
          <w:sz w:val="24"/>
        </w:rPr>
        <w:t>仲裁阶段（仲裁终结）；</w:t>
      </w:r>
    </w:p>
    <w:p>
      <w:pPr>
        <w:spacing w:line="560" w:lineRule="exact"/>
        <w:ind w:right="482" w:firstLine="240" w:firstLineChars="100"/>
        <w:rPr>
          <w:rFonts w:ascii="宋体" w:cs="宋体"/>
          <w:sz w:val="24"/>
        </w:rPr>
      </w:pPr>
      <w:r>
        <w:rPr>
          <w:rFonts w:ascii="宋体" w:cs="宋体"/>
          <w:sz w:val="24"/>
        </w:rPr>
        <w:t>4.</w:t>
      </w:r>
      <w:r>
        <w:rPr>
          <w:rFonts w:hint="eastAsia" w:ascii="宋体" w:cs="宋体"/>
          <w:sz w:val="24"/>
        </w:rPr>
        <w:t xml:space="preserve">其他约定：_____                                      </w:t>
      </w:r>
    </w:p>
    <w:p>
      <w:pPr>
        <w:spacing w:line="560" w:lineRule="exact"/>
        <w:ind w:firstLine="480" w:firstLineChars="200"/>
        <w:rPr>
          <w:rFonts w:ascii="宋体" w:cs="宋体"/>
          <w:sz w:val="24"/>
        </w:rPr>
      </w:pPr>
      <w:r>
        <w:rPr>
          <w:rFonts w:hint="eastAsia" w:ascii="宋体" w:cs="宋体"/>
          <w:sz w:val="24"/>
        </w:rPr>
        <w:t>（二）委托代理权限：以甲方签署的《授权委托书》为准。</w:t>
      </w:r>
    </w:p>
    <w:p>
      <w:pPr>
        <w:spacing w:line="560" w:lineRule="exact"/>
        <w:ind w:firstLine="480" w:firstLineChars="200"/>
        <w:rPr>
          <w:rFonts w:ascii="宋体" w:cs="宋体"/>
          <w:sz w:val="24"/>
        </w:rPr>
      </w:pPr>
      <w:r>
        <w:rPr>
          <w:rFonts w:hint="eastAsia" w:ascii="宋体" w:cs="宋体"/>
          <w:sz w:val="24"/>
        </w:rPr>
        <w:t>（三）委托代理期限：从本合同生效之日起至委托事项办理完结时止（包括判决、调解、和解等任何方式结案并执行完毕）。</w:t>
      </w:r>
    </w:p>
    <w:p>
      <w:pPr>
        <w:spacing w:line="560" w:lineRule="exact"/>
        <w:rPr>
          <w:rFonts w:ascii="宋体" w:cs="宋体"/>
          <w:b/>
          <w:bCs/>
          <w:sz w:val="24"/>
        </w:rPr>
      </w:pPr>
      <w:r>
        <w:rPr>
          <w:rFonts w:hint="eastAsia" w:ascii="宋体" w:cs="宋体"/>
          <w:b/>
          <w:bCs/>
          <w:sz w:val="24"/>
        </w:rPr>
        <w:t>第二条  乙方的权利义务</w:t>
      </w:r>
    </w:p>
    <w:p>
      <w:pPr>
        <w:spacing w:line="560" w:lineRule="exact"/>
        <w:ind w:right="482" w:firstLine="480" w:firstLineChars="200"/>
        <w:rPr>
          <w:rFonts w:ascii="宋体" w:cs="宋体"/>
          <w:sz w:val="24"/>
        </w:rPr>
      </w:pPr>
      <w:r>
        <w:rPr>
          <w:rFonts w:hint="eastAsia" w:ascii="宋体" w:cs="宋体"/>
          <w:sz w:val="24"/>
        </w:rPr>
        <w:t>（一）甲方同意乙方律师安排业务助理配合完成辅助工作；代理律师因特殊原因不能继续履行甲方事务时，乙方有且仅有一次机会在经甲方同意后，另行指派律师执行本合同约定事务，以保证代理的延续性和完整性。</w:t>
      </w:r>
    </w:p>
    <w:p>
      <w:pPr>
        <w:spacing w:line="560" w:lineRule="exact"/>
        <w:ind w:right="482" w:firstLine="480" w:firstLineChars="200"/>
        <w:rPr>
          <w:rFonts w:ascii="宋体" w:cs="宋体"/>
          <w:sz w:val="24"/>
        </w:rPr>
      </w:pPr>
      <w:r>
        <w:rPr>
          <w:rFonts w:hint="eastAsia" w:ascii="宋体" w:cs="宋体"/>
          <w:sz w:val="24"/>
        </w:rPr>
        <w:t>（二）乙方律师应组成专门的项目团队，由主办律师带领团队成员分析讨论案件，负责把控案件质量和进度，以最优化团队组合。</w:t>
      </w:r>
    </w:p>
    <w:p>
      <w:pPr>
        <w:spacing w:line="560" w:lineRule="exact"/>
        <w:ind w:firstLine="480" w:firstLineChars="200"/>
        <w:rPr>
          <w:rFonts w:ascii="宋体" w:cs="宋体"/>
          <w:sz w:val="24"/>
        </w:rPr>
      </w:pPr>
      <w:r>
        <w:rPr>
          <w:rFonts w:hint="eastAsia" w:ascii="宋体" w:cs="宋体"/>
          <w:sz w:val="24"/>
        </w:rPr>
        <w:t>（三）乙方律师应当勤勉、尽责地完成第一条所列委托代理事项。</w:t>
      </w:r>
    </w:p>
    <w:p>
      <w:pPr>
        <w:spacing w:line="560" w:lineRule="exact"/>
        <w:ind w:firstLine="480" w:firstLineChars="200"/>
        <w:rPr>
          <w:rFonts w:ascii="宋体" w:cs="宋体"/>
          <w:sz w:val="24"/>
        </w:rPr>
      </w:pPr>
      <w:r>
        <w:rPr>
          <w:rFonts w:hint="eastAsia" w:ascii="宋体" w:cs="宋体"/>
          <w:sz w:val="24"/>
        </w:rPr>
        <w:t>（四）乙方律师应当以其法律依据作出的判断，向甲方提示法律风险，尽力维护甲方利益。</w:t>
      </w:r>
    </w:p>
    <w:p>
      <w:pPr>
        <w:spacing w:line="560" w:lineRule="exact"/>
        <w:ind w:right="482" w:firstLine="480" w:firstLineChars="200"/>
        <w:rPr>
          <w:rFonts w:ascii="宋体" w:cs="宋体"/>
          <w:sz w:val="24"/>
        </w:rPr>
      </w:pPr>
      <w:r>
        <w:rPr>
          <w:rFonts w:hint="eastAsia" w:ascii="宋体" w:cs="宋体"/>
          <w:sz w:val="24"/>
        </w:rPr>
        <w:t>（五）签署委托代理协议后，就本案事实与法律问题与甲方进行深入讨论，并准备相关材料，根据甲方要求，由乙方律师适时向人民法院提交诉状等法律文书。</w:t>
      </w:r>
    </w:p>
    <w:p>
      <w:pPr>
        <w:spacing w:line="560" w:lineRule="exact"/>
        <w:ind w:right="482" w:firstLine="480" w:firstLineChars="200"/>
        <w:rPr>
          <w:rFonts w:ascii="宋体" w:cs="宋体"/>
          <w:sz w:val="24"/>
        </w:rPr>
      </w:pPr>
      <w:r>
        <w:rPr>
          <w:rFonts w:hint="eastAsia" w:ascii="宋体" w:cs="宋体"/>
          <w:sz w:val="24"/>
        </w:rPr>
        <w:t>（六）乙方律师应在每月2</w:t>
      </w:r>
      <w:r>
        <w:rPr>
          <w:rFonts w:ascii="宋体" w:cs="宋体"/>
          <w:sz w:val="24"/>
        </w:rPr>
        <w:t>5日前</w:t>
      </w:r>
      <w:r>
        <w:rPr>
          <w:rFonts w:hint="eastAsia" w:ascii="宋体" w:cs="宋体"/>
          <w:sz w:val="24"/>
        </w:rPr>
        <w:t>向甲方提交书面律师工作报告，及时汇报工作进展及案件进度情况。并密切联系和关注案件的进展情况，视情况安排会议讨论。</w:t>
      </w:r>
    </w:p>
    <w:p>
      <w:pPr>
        <w:spacing w:line="560" w:lineRule="exact"/>
        <w:ind w:right="482" w:firstLine="480" w:firstLineChars="200"/>
        <w:rPr>
          <w:rFonts w:ascii="宋体" w:cs="宋体"/>
          <w:sz w:val="24"/>
        </w:rPr>
      </w:pPr>
      <w:r>
        <w:rPr>
          <w:rFonts w:hint="eastAsia" w:ascii="宋体" w:cs="宋体"/>
          <w:sz w:val="24"/>
        </w:rPr>
        <w:t>（七）案件办理完结后，向甲方提交结案报告和完整卷宗资料。</w:t>
      </w:r>
    </w:p>
    <w:p>
      <w:pPr>
        <w:spacing w:line="560" w:lineRule="exact"/>
        <w:ind w:firstLine="480" w:firstLineChars="200"/>
        <w:rPr>
          <w:rFonts w:ascii="宋体" w:cs="宋体"/>
          <w:sz w:val="24"/>
        </w:rPr>
      </w:pPr>
      <w:r>
        <w:rPr>
          <w:rFonts w:hint="eastAsia" w:ascii="宋体" w:cs="宋体"/>
          <w:sz w:val="24"/>
        </w:rPr>
        <w:t>（八）乙方律师不得违反《律师执业规范》，在涉及甲方的对抗性案件中，未经甲方同意，不得同时担任与甲方具有法律上利益冲突的另一方的委托代理人。</w:t>
      </w:r>
    </w:p>
    <w:p>
      <w:pPr>
        <w:spacing w:line="560" w:lineRule="exact"/>
        <w:ind w:firstLine="480" w:firstLineChars="200"/>
        <w:rPr>
          <w:rFonts w:ascii="宋体" w:cs="宋体"/>
          <w:sz w:val="24"/>
        </w:rPr>
      </w:pPr>
      <w:r>
        <w:rPr>
          <w:rFonts w:hint="eastAsia" w:ascii="宋体" w:cs="宋体"/>
          <w:sz w:val="24"/>
        </w:rPr>
        <w:t>（九）乙方律师对其获知的甲方的商业秘密或者甲方的个人隐私负有保密责任，非由法律规定或者甲方同意，不得向任何第三方披露。</w:t>
      </w:r>
    </w:p>
    <w:p>
      <w:pPr>
        <w:spacing w:line="560" w:lineRule="exact"/>
        <w:ind w:firstLine="480" w:firstLineChars="200"/>
        <w:rPr>
          <w:rFonts w:ascii="宋体" w:cs="宋体"/>
          <w:sz w:val="24"/>
        </w:rPr>
      </w:pPr>
      <w:r>
        <w:rPr>
          <w:rFonts w:hint="eastAsia" w:ascii="宋体" w:cs="宋体"/>
          <w:sz w:val="24"/>
        </w:rPr>
        <w:t>（十）除本合同约定的收费外，乙方承诺不再就办理本合同项下委托事务向甲方收取其他任何费用；乙方律师以任何理由提出本合同约定之外的收费，甲方有权予以拒绝。</w:t>
      </w:r>
    </w:p>
    <w:p>
      <w:pPr>
        <w:spacing w:line="560" w:lineRule="exact"/>
        <w:rPr>
          <w:rFonts w:ascii="宋体" w:cs="宋体"/>
          <w:b/>
          <w:bCs/>
          <w:sz w:val="24"/>
        </w:rPr>
      </w:pPr>
      <w:r>
        <w:rPr>
          <w:rFonts w:hint="eastAsia" w:ascii="宋体" w:cs="宋体"/>
          <w:b/>
          <w:bCs/>
          <w:sz w:val="24"/>
        </w:rPr>
        <w:t>第三条 甲方的权利义务</w:t>
      </w:r>
    </w:p>
    <w:p>
      <w:pPr>
        <w:spacing w:line="560" w:lineRule="exact"/>
        <w:ind w:firstLine="480" w:firstLineChars="200"/>
        <w:rPr>
          <w:rFonts w:ascii="宋体" w:cs="宋体"/>
          <w:sz w:val="24"/>
        </w:rPr>
      </w:pPr>
      <w:r>
        <w:rPr>
          <w:rFonts w:hint="eastAsia" w:ascii="宋体" w:cs="宋体"/>
          <w:sz w:val="24"/>
        </w:rPr>
        <w:t>（一）甲方应当真实、详尽和及时地向乙方律师叙述案情，提供与代理事项有关的证据、文件及其他事实材料。否则，由此产生的不利于甲方的后果，应归责于甲方。</w:t>
      </w:r>
    </w:p>
    <w:p>
      <w:pPr>
        <w:spacing w:line="560" w:lineRule="exact"/>
        <w:ind w:firstLine="480" w:firstLineChars="200"/>
        <w:rPr>
          <w:rFonts w:ascii="宋体" w:cs="宋体"/>
          <w:sz w:val="24"/>
        </w:rPr>
      </w:pPr>
      <w:r>
        <w:rPr>
          <w:rFonts w:hint="eastAsia" w:ascii="宋体" w:cs="宋体"/>
          <w:sz w:val="24"/>
        </w:rPr>
        <w:t>（二）甲方应当积极、主动地配合乙方律师开展工作，对乙方律师提出的要求应当明确、合理。</w:t>
      </w:r>
    </w:p>
    <w:p>
      <w:pPr>
        <w:spacing w:line="560" w:lineRule="exact"/>
        <w:ind w:firstLine="480" w:firstLineChars="200"/>
        <w:rPr>
          <w:rFonts w:ascii="宋体" w:cs="宋体"/>
          <w:sz w:val="24"/>
        </w:rPr>
      </w:pPr>
      <w:r>
        <w:rPr>
          <w:rFonts w:hint="eastAsia" w:ascii="宋体" w:cs="宋体"/>
          <w:sz w:val="24"/>
        </w:rPr>
        <w:t>（三）甲方应当按时、足额向乙方支付律师费。</w:t>
      </w:r>
    </w:p>
    <w:p>
      <w:pPr>
        <w:spacing w:line="560" w:lineRule="exact"/>
        <w:ind w:right="482" w:firstLine="480" w:firstLineChars="200"/>
        <w:rPr>
          <w:rFonts w:ascii="宋体" w:cs="宋体"/>
          <w:sz w:val="24"/>
        </w:rPr>
      </w:pPr>
      <w:r>
        <w:rPr>
          <w:rFonts w:hint="eastAsia" w:ascii="宋体" w:cs="宋体"/>
          <w:sz w:val="24"/>
        </w:rPr>
        <w:t>（四）因甲方提供的证据出现重大遗漏，或提供的证据缺乏真实性的，或提供的证据不具合法性而致本案对甲方重大不利，甲方不得拒付律师费。</w:t>
      </w:r>
    </w:p>
    <w:p>
      <w:pPr>
        <w:spacing w:line="560" w:lineRule="exact"/>
        <w:ind w:right="482" w:firstLine="480" w:firstLineChars="200"/>
        <w:rPr>
          <w:rFonts w:ascii="宋体" w:cs="宋体"/>
          <w:sz w:val="24"/>
        </w:rPr>
      </w:pPr>
      <w:r>
        <w:rPr>
          <w:rFonts w:hint="eastAsia" w:ascii="宋体" w:cs="宋体"/>
          <w:sz w:val="24"/>
        </w:rPr>
        <w:t>（五）乙方是根据甲方单方提供的事实和证据在法律允许的范围内按照最有利于甲方的方式进行预见性分析和提出权利要求的，最终的代理结果可能与该分析和主张有所不同，乙方及代理律师不保证案件绝对效果，对案件在法律上的分析不视为乙方及代理律师对甲方的承诺；在代理过程中未达到效果，而没有实现委托目的的，不视为乙方及代理律师的过错，甲方不得拒付律师费。</w:t>
      </w:r>
    </w:p>
    <w:p>
      <w:pPr>
        <w:spacing w:line="560" w:lineRule="exact"/>
        <w:ind w:right="482" w:firstLine="480" w:firstLineChars="200"/>
        <w:rPr>
          <w:rFonts w:ascii="宋体" w:cs="宋体"/>
          <w:sz w:val="24"/>
        </w:rPr>
      </w:pPr>
      <w:r>
        <w:rPr>
          <w:rFonts w:hint="eastAsia" w:ascii="宋体" w:cs="宋体"/>
          <w:sz w:val="24"/>
        </w:rPr>
        <w:t>（六）甲方指定</w:t>
      </w:r>
      <w:r>
        <w:rPr>
          <w:rFonts w:hint="eastAsia" w:ascii="宋体" w:cs="宋体"/>
          <w:sz w:val="24"/>
          <w:u w:val="single"/>
        </w:rPr>
        <w:t>王国威，13772417013</w:t>
      </w:r>
      <w:r>
        <w:rPr>
          <w:rFonts w:hint="eastAsia" w:ascii="宋体" w:cs="宋体"/>
          <w:sz w:val="24"/>
        </w:rPr>
        <w:t>为乙方律师的联系人，负责转达甲方的意见和要求，提供文件和资料等，甲方更换联系人应当通知乙方律师。</w:t>
      </w:r>
    </w:p>
    <w:p>
      <w:pPr>
        <w:spacing w:line="560" w:lineRule="exact"/>
        <w:ind w:firstLine="480" w:firstLineChars="200"/>
        <w:rPr>
          <w:rFonts w:ascii="宋体" w:cs="宋体"/>
          <w:sz w:val="24"/>
        </w:rPr>
      </w:pPr>
      <w:r>
        <w:rPr>
          <w:rFonts w:hint="eastAsia" w:ascii="宋体" w:cs="宋体"/>
          <w:sz w:val="24"/>
        </w:rPr>
        <w:t>（七）甲方有责任对委托代理事项作出独立的判断、决策，甲方根据乙方律师提供的法律意见、建议、方案所作出的决定而导致的损失，非因乙方律师错误运用法律等失职行为造成的，由甲方自行承担。</w:t>
      </w:r>
    </w:p>
    <w:p>
      <w:pPr>
        <w:spacing w:line="560" w:lineRule="exact"/>
        <w:ind w:right="482"/>
        <w:rPr>
          <w:rFonts w:ascii="宋体" w:cs="宋体"/>
          <w:b/>
          <w:bCs/>
          <w:sz w:val="24"/>
        </w:rPr>
      </w:pPr>
      <w:r>
        <w:rPr>
          <w:rFonts w:hint="eastAsia" w:ascii="宋体" w:cs="宋体"/>
          <w:b/>
          <w:bCs/>
          <w:sz w:val="24"/>
        </w:rPr>
        <w:t>第四条  诉讼效果要求（代理目标）</w:t>
      </w:r>
    </w:p>
    <w:p>
      <w:pPr>
        <w:spacing w:line="560" w:lineRule="exact"/>
        <w:ind w:right="482" w:firstLine="480" w:firstLineChars="200"/>
        <w:rPr>
          <w:rFonts w:ascii="宋体" w:cs="宋体"/>
          <w:sz w:val="24"/>
        </w:rPr>
      </w:pPr>
      <w:r>
        <w:rPr>
          <w:rFonts w:hint="eastAsia" w:ascii="宋体" w:cs="宋体"/>
          <w:sz w:val="24"/>
        </w:rPr>
        <w:t>乙方接受甲方委托代理后</w:t>
      </w:r>
      <w:r>
        <w:rPr>
          <w:rFonts w:ascii="宋体" w:cs="宋体"/>
          <w:sz w:val="24"/>
          <w:u w:val="single"/>
        </w:rPr>
        <w:t>24</w:t>
      </w:r>
      <w:r>
        <w:rPr>
          <w:rFonts w:hint="eastAsia" w:ascii="宋体" w:cs="宋体"/>
          <w:sz w:val="24"/>
          <w:u w:val="single"/>
        </w:rPr>
        <w:t>个月内</w:t>
      </w:r>
      <w:r>
        <w:rPr>
          <w:rFonts w:hint="eastAsia" w:ascii="宋体" w:cs="宋体"/>
          <w:sz w:val="24"/>
        </w:rPr>
        <w:t>完成案件结案并实现甲方案涉项目债权回收。</w:t>
      </w:r>
    </w:p>
    <w:p>
      <w:pPr>
        <w:spacing w:line="560" w:lineRule="exact"/>
        <w:rPr>
          <w:rFonts w:ascii="宋体" w:cs="宋体"/>
          <w:b/>
          <w:sz w:val="24"/>
        </w:rPr>
      </w:pPr>
      <w:r>
        <w:rPr>
          <w:rFonts w:hint="eastAsia" w:ascii="宋体" w:cs="宋体"/>
          <w:b/>
          <w:sz w:val="24"/>
        </w:rPr>
        <w:t>第五条  法律服务费（代理费）</w:t>
      </w:r>
    </w:p>
    <w:p>
      <w:pPr>
        <w:widowControl/>
        <w:spacing w:line="560" w:lineRule="exact"/>
        <w:ind w:firstLine="480" w:firstLineChars="200"/>
        <w:jc w:val="left"/>
        <w:rPr>
          <w:rFonts w:ascii="宋体" w:cs="宋体"/>
          <w:sz w:val="24"/>
        </w:rPr>
      </w:pPr>
      <w:r>
        <w:rPr>
          <w:rFonts w:hint="eastAsia" w:ascii="宋体" w:cs="宋体"/>
          <w:sz w:val="24"/>
        </w:rPr>
        <w:t>（一）通过法院判决方式结案：</w:t>
      </w:r>
    </w:p>
    <w:p>
      <w:pPr>
        <w:widowControl/>
        <w:spacing w:line="560" w:lineRule="exact"/>
        <w:ind w:firstLine="480" w:firstLineChars="200"/>
        <w:jc w:val="left"/>
        <w:rPr>
          <w:rFonts w:ascii="宋体" w:cs="宋体"/>
          <w:sz w:val="24"/>
        </w:rPr>
      </w:pPr>
      <w:r>
        <w:rPr>
          <w:rFonts w:hint="eastAsia" w:ascii="宋体" w:cs="宋体"/>
          <w:sz w:val="24"/>
        </w:rPr>
        <w:t>法律服务费金额=前期费用（≤</w:t>
      </w:r>
      <w:r>
        <w:rPr>
          <w:rFonts w:ascii="宋体" w:cs="宋体"/>
          <w:sz w:val="24"/>
          <w:u w:val="single"/>
        </w:rPr>
        <w:t xml:space="preserve">  0  </w:t>
      </w:r>
      <w:r>
        <w:rPr>
          <w:rFonts w:hint="eastAsia" w:ascii="宋体" w:cs="宋体"/>
          <w:sz w:val="24"/>
        </w:rPr>
        <w:t>万元）+收回工程款本金</w:t>
      </w:r>
      <w:r>
        <w:rPr>
          <w:rFonts w:hint="eastAsia" w:ascii="宋体" w:cs="宋体"/>
          <w:sz w:val="24"/>
          <w:u w:val="single"/>
        </w:rPr>
        <w:t xml:space="preserve"> </w:t>
      </w:r>
      <w:r>
        <w:rPr>
          <w:rFonts w:ascii="宋体" w:cs="宋体"/>
          <w:sz w:val="24"/>
          <w:u w:val="single"/>
        </w:rPr>
        <w:t>0.6</w:t>
      </w:r>
      <w:r>
        <w:rPr>
          <w:rFonts w:hint="eastAsia" w:ascii="宋体" w:cs="宋体"/>
          <w:sz w:val="24"/>
          <w:u w:val="single"/>
        </w:rPr>
        <w:t xml:space="preserve"> </w:t>
      </w:r>
      <w:r>
        <w:rPr>
          <w:rFonts w:hint="eastAsia" w:ascii="宋体" w:cs="宋体"/>
          <w:sz w:val="24"/>
        </w:rPr>
        <w:t xml:space="preserve"> %(≤</w:t>
      </w:r>
      <w:r>
        <w:rPr>
          <w:rFonts w:ascii="宋体" w:cs="宋体"/>
          <w:sz w:val="24"/>
          <w:u w:val="single"/>
        </w:rPr>
        <w:t xml:space="preserve"> 0.6 </w:t>
      </w:r>
      <w:r>
        <w:rPr>
          <w:rFonts w:hint="eastAsia" w:ascii="宋体" w:cs="宋体"/>
          <w:sz w:val="24"/>
        </w:rPr>
        <w:t>%)+收回其他费用总金额(利息、违约金、停窝工损失等)</w:t>
      </w:r>
      <w:r>
        <w:rPr>
          <w:rFonts w:hint="eastAsia" w:ascii="宋体" w:cs="宋体"/>
          <w:sz w:val="24"/>
          <w:u w:val="single"/>
        </w:rPr>
        <w:t xml:space="preserve"> </w:t>
      </w:r>
      <w:r>
        <w:rPr>
          <w:rFonts w:ascii="宋体" w:cs="宋体"/>
          <w:sz w:val="24"/>
          <w:u w:val="single"/>
        </w:rPr>
        <w:t>3</w:t>
      </w:r>
      <w:r>
        <w:rPr>
          <w:rFonts w:hint="eastAsia" w:ascii="宋体" w:cs="宋体"/>
          <w:sz w:val="24"/>
          <w:u w:val="single"/>
        </w:rPr>
        <w:t xml:space="preserve"> </w:t>
      </w:r>
      <w:r>
        <w:rPr>
          <w:rFonts w:hint="eastAsia" w:ascii="宋体" w:cs="宋体"/>
          <w:sz w:val="24"/>
        </w:rPr>
        <w:t>%(≤</w:t>
      </w:r>
      <w:r>
        <w:rPr>
          <w:rFonts w:ascii="宋体" w:cs="宋体"/>
          <w:sz w:val="24"/>
          <w:u w:val="single"/>
        </w:rPr>
        <w:t xml:space="preserve"> 3 </w:t>
      </w:r>
      <w:r>
        <w:rPr>
          <w:rFonts w:hint="eastAsia" w:ascii="宋体" w:cs="宋体"/>
          <w:sz w:val="24"/>
        </w:rPr>
        <w:t>%)，在甲方实际收到案件回款后计算支付。</w:t>
      </w:r>
    </w:p>
    <w:p>
      <w:pPr>
        <w:widowControl/>
        <w:spacing w:line="560" w:lineRule="exact"/>
        <w:ind w:firstLine="480" w:firstLineChars="200"/>
        <w:jc w:val="left"/>
        <w:rPr>
          <w:rFonts w:ascii="宋体" w:cs="宋体"/>
          <w:sz w:val="24"/>
        </w:rPr>
      </w:pPr>
      <w:r>
        <w:rPr>
          <w:rFonts w:hint="eastAsia" w:ascii="宋体" w:cs="宋体"/>
          <w:sz w:val="24"/>
        </w:rPr>
        <w:t>（二）通过调解或和解结案（法律服务费计算方式同上）按以下标准执行：</w:t>
      </w:r>
    </w:p>
    <w:p>
      <w:pPr>
        <w:widowControl/>
        <w:tabs>
          <w:tab w:val="left" w:pos="0"/>
        </w:tabs>
        <w:spacing w:line="560" w:lineRule="exact"/>
        <w:ind w:firstLine="480" w:firstLineChars="200"/>
        <w:jc w:val="left"/>
        <w:rPr>
          <w:kern w:val="0"/>
          <w:sz w:val="24"/>
          <w:szCs w:val="28"/>
        </w:rPr>
      </w:pPr>
      <w:r>
        <w:rPr>
          <w:rFonts w:hint="eastAsia" w:ascii="宋体" w:cs="宋体"/>
          <w:sz w:val="24"/>
        </w:rPr>
        <w:t>不论是否开庭，招标人通过调解、和解方式回款的，代理费按照中标价</w:t>
      </w:r>
      <w:r>
        <w:rPr>
          <w:rFonts w:ascii="宋体" w:cs="宋体"/>
          <w:sz w:val="24"/>
        </w:rPr>
        <w:t>20%</w:t>
      </w:r>
      <w:r>
        <w:rPr>
          <w:rFonts w:hint="eastAsia" w:ascii="宋体" w:cs="宋体"/>
          <w:sz w:val="24"/>
        </w:rPr>
        <w:t>的比例收取。</w:t>
      </w:r>
    </w:p>
    <w:p>
      <w:pPr>
        <w:widowControl/>
        <w:spacing w:line="560" w:lineRule="exact"/>
        <w:ind w:firstLine="480" w:firstLineChars="200"/>
        <w:jc w:val="left"/>
        <w:rPr>
          <w:rFonts w:ascii="宋体" w:cs="宋体"/>
          <w:sz w:val="24"/>
        </w:rPr>
      </w:pPr>
      <w:r>
        <w:rPr>
          <w:rFonts w:hint="eastAsia" w:ascii="宋体" w:cs="宋体"/>
          <w:sz w:val="24"/>
        </w:rPr>
        <w:t>（三）若通过抵入实物资产方式回收债权的，法律服务费按现金回收方式的</w:t>
      </w:r>
      <w:r>
        <w:rPr>
          <w:rFonts w:ascii="宋体" w:cs="宋体"/>
          <w:sz w:val="24"/>
          <w:u w:val="single"/>
        </w:rPr>
        <w:t xml:space="preserve"> 70 </w:t>
      </w:r>
      <w:r>
        <w:rPr>
          <w:rFonts w:hint="eastAsia" w:ascii="宋体" w:cs="宋体"/>
          <w:sz w:val="24"/>
        </w:rPr>
        <w:t>%计算支付。</w:t>
      </w:r>
    </w:p>
    <w:p>
      <w:pPr>
        <w:spacing w:line="560" w:lineRule="exact"/>
        <w:ind w:firstLine="480" w:firstLineChars="200"/>
        <w:rPr>
          <w:rFonts w:ascii="宋体" w:cs="宋体"/>
          <w:sz w:val="24"/>
        </w:rPr>
      </w:pPr>
      <w:r>
        <w:rPr>
          <w:rFonts w:hint="eastAsia" w:ascii="宋体" w:cs="宋体"/>
          <w:sz w:val="24"/>
        </w:rPr>
        <w:t>（四）前期费用</w:t>
      </w:r>
      <w:r>
        <w:rPr>
          <w:rFonts w:hint="eastAsia" w:ascii="宋体" w:cs="宋体"/>
          <w:sz w:val="24"/>
          <w:u w:val="single"/>
        </w:rPr>
        <w:t xml:space="preserve">  </w:t>
      </w:r>
      <w:r>
        <w:rPr>
          <w:rFonts w:ascii="宋体" w:cs="宋体"/>
          <w:sz w:val="24"/>
          <w:u w:val="single"/>
        </w:rPr>
        <w:t>0</w:t>
      </w:r>
      <w:r>
        <w:rPr>
          <w:rFonts w:hint="eastAsia" w:ascii="宋体" w:cs="宋体"/>
          <w:sz w:val="24"/>
          <w:u w:val="single"/>
        </w:rPr>
        <w:t xml:space="preserve">  </w:t>
      </w:r>
      <w:r>
        <w:rPr>
          <w:rFonts w:hint="eastAsia" w:ascii="宋体" w:cs="宋体"/>
          <w:sz w:val="24"/>
        </w:rPr>
        <w:t>万元，在本代理合同签定后十日内，由甲方转账支付乙方，前期费用包含在全部律师代理费用中，在甲乙双方最终结算代理费用时由甲方予以扣减。</w:t>
      </w:r>
    </w:p>
    <w:p>
      <w:pPr>
        <w:spacing w:line="560" w:lineRule="exact"/>
        <w:ind w:firstLine="480" w:firstLineChars="200"/>
        <w:rPr>
          <w:rFonts w:ascii="宋体" w:cs="宋体"/>
          <w:sz w:val="24"/>
        </w:rPr>
      </w:pPr>
      <w:r>
        <w:rPr>
          <w:rFonts w:hint="eastAsia" w:ascii="宋体" w:cs="宋体"/>
          <w:sz w:val="24"/>
        </w:rPr>
        <w:t>（五）乙方律师办理本案件所需支出的包括但不限于文印费、查档费、差旅费、通讯费、伙食费等一切费用均包含在乙方收取的法律服务费（代理费）当中，由乙方自行承担，甲方不再另行支付。</w:t>
      </w:r>
    </w:p>
    <w:p>
      <w:pPr>
        <w:spacing w:line="560" w:lineRule="exact"/>
        <w:rPr>
          <w:rFonts w:ascii="宋体" w:cs="宋体"/>
          <w:b/>
          <w:bCs/>
          <w:sz w:val="24"/>
        </w:rPr>
      </w:pPr>
      <w:r>
        <w:rPr>
          <w:rFonts w:hint="eastAsia" w:ascii="宋体" w:cs="宋体"/>
          <w:b/>
          <w:bCs/>
          <w:sz w:val="24"/>
        </w:rPr>
        <w:t>第六条 甲方承担的费用</w:t>
      </w:r>
    </w:p>
    <w:p>
      <w:pPr>
        <w:spacing w:line="560" w:lineRule="exact"/>
        <w:ind w:firstLine="480" w:firstLineChars="200"/>
        <w:rPr>
          <w:rFonts w:ascii="宋体" w:cs="宋体"/>
          <w:sz w:val="24"/>
        </w:rPr>
      </w:pPr>
      <w:r>
        <w:rPr>
          <w:rFonts w:hint="eastAsia" w:ascii="宋体" w:cs="宋体"/>
          <w:sz w:val="24"/>
        </w:rPr>
        <w:t>乙方律师办理本案所需要向司法机关或者有关部门缴纳（或预缴）的诉讼费、保全费、鉴定费、评估费、公证费等由甲方负责支付。</w:t>
      </w:r>
    </w:p>
    <w:p>
      <w:pPr>
        <w:spacing w:line="560" w:lineRule="exact"/>
        <w:rPr>
          <w:rFonts w:ascii="宋体" w:cs="宋体"/>
          <w:b/>
          <w:bCs/>
          <w:sz w:val="24"/>
        </w:rPr>
      </w:pPr>
      <w:r>
        <w:rPr>
          <w:rFonts w:hint="eastAsia" w:ascii="宋体" w:cs="宋体"/>
          <w:b/>
          <w:bCs/>
          <w:sz w:val="24"/>
        </w:rPr>
        <w:t>第七条  合同的解除</w:t>
      </w:r>
    </w:p>
    <w:p>
      <w:pPr>
        <w:spacing w:line="560" w:lineRule="exact"/>
        <w:ind w:firstLine="480" w:firstLineChars="200"/>
        <w:rPr>
          <w:rFonts w:ascii="宋体" w:cs="宋体"/>
          <w:sz w:val="24"/>
        </w:rPr>
      </w:pPr>
      <w:r>
        <w:rPr>
          <w:rFonts w:hint="eastAsia" w:ascii="宋体" w:cs="宋体"/>
          <w:sz w:val="24"/>
        </w:rPr>
        <w:t>（一）有下列情形之一的，甲方有权单方解除本合同，且不再支付后续费用，以甲方书面解除函件送达乙方之时发生解除效力。</w:t>
      </w:r>
    </w:p>
    <w:p>
      <w:pPr>
        <w:spacing w:line="560" w:lineRule="exact"/>
        <w:ind w:right="482" w:firstLine="480" w:firstLineChars="200"/>
        <w:rPr>
          <w:rFonts w:ascii="宋体" w:cs="宋体"/>
          <w:sz w:val="24"/>
        </w:rPr>
      </w:pPr>
      <w:r>
        <w:rPr>
          <w:rFonts w:hint="eastAsia" w:ascii="宋体" w:cs="宋体"/>
          <w:sz w:val="24"/>
        </w:rPr>
        <w:t>1</w:t>
      </w:r>
      <w:r>
        <w:rPr>
          <w:rFonts w:ascii="宋体" w:cs="宋体"/>
          <w:sz w:val="24"/>
        </w:rPr>
        <w:t>.</w:t>
      </w:r>
      <w:r>
        <w:rPr>
          <w:rFonts w:hint="eastAsia" w:ascii="宋体" w:cs="宋体"/>
          <w:sz w:val="24"/>
        </w:rPr>
        <w:t>在本案诉讼过程中，乙方律师应每月25日前向甲方书面汇报案件进展及下一步实施方案，若乙方律师连续两个月未向甲方书面汇报的；</w:t>
      </w:r>
    </w:p>
    <w:p>
      <w:pPr>
        <w:spacing w:line="560" w:lineRule="exact"/>
        <w:ind w:right="482" w:firstLine="480" w:firstLineChars="200"/>
        <w:rPr>
          <w:rFonts w:ascii="宋体" w:cs="宋体"/>
          <w:sz w:val="24"/>
        </w:rPr>
      </w:pPr>
      <w:r>
        <w:rPr>
          <w:rFonts w:hint="eastAsia" w:ascii="宋体" w:cs="宋体"/>
          <w:sz w:val="24"/>
        </w:rPr>
        <w:t>2</w:t>
      </w:r>
      <w:r>
        <w:rPr>
          <w:rFonts w:ascii="宋体" w:cs="宋体"/>
          <w:sz w:val="24"/>
        </w:rPr>
        <w:t>.乙方应当根据甲方需求参加相关案情研讨会议</w:t>
      </w:r>
      <w:r>
        <w:rPr>
          <w:rFonts w:hint="eastAsia" w:ascii="宋体" w:cs="宋体"/>
          <w:sz w:val="24"/>
        </w:rPr>
        <w:t>，</w:t>
      </w:r>
      <w:r>
        <w:rPr>
          <w:rFonts w:ascii="宋体" w:cs="宋体"/>
          <w:sz w:val="24"/>
        </w:rPr>
        <w:t>若乙方无正当理由不参加会议</w:t>
      </w:r>
      <w:r>
        <w:rPr>
          <w:rFonts w:hint="eastAsia" w:ascii="宋体" w:cs="宋体"/>
          <w:sz w:val="24"/>
        </w:rPr>
        <w:t>的；</w:t>
      </w:r>
    </w:p>
    <w:p>
      <w:pPr>
        <w:spacing w:line="560" w:lineRule="exact"/>
        <w:ind w:right="482" w:firstLine="480" w:firstLineChars="200"/>
        <w:rPr>
          <w:rFonts w:ascii="宋体" w:cs="宋体"/>
          <w:sz w:val="24"/>
        </w:rPr>
      </w:pPr>
      <w:r>
        <w:rPr>
          <w:rFonts w:ascii="宋体" w:cs="宋体"/>
          <w:sz w:val="24"/>
        </w:rPr>
        <w:t>3.</w:t>
      </w:r>
      <w:r>
        <w:rPr>
          <w:rFonts w:hint="eastAsia" w:ascii="宋体" w:cs="宋体"/>
          <w:sz w:val="24"/>
        </w:rPr>
        <w:t>乙方在签订代理合同后</w:t>
      </w:r>
      <w:r>
        <w:rPr>
          <w:rFonts w:ascii="宋体" w:cs="宋体"/>
          <w:sz w:val="24"/>
          <w:u w:val="single"/>
        </w:rPr>
        <w:t>24</w:t>
      </w:r>
      <w:r>
        <w:rPr>
          <w:rFonts w:hint="eastAsia" w:ascii="宋体" w:cs="宋体"/>
          <w:sz w:val="24"/>
          <w:u w:val="single"/>
        </w:rPr>
        <w:t>个月</w:t>
      </w:r>
      <w:r>
        <w:rPr>
          <w:rFonts w:ascii="宋体" w:cs="宋体"/>
          <w:sz w:val="24"/>
        </w:rPr>
        <w:t>内</w:t>
      </w:r>
      <w:r>
        <w:rPr>
          <w:rFonts w:hint="eastAsia" w:ascii="宋体" w:cs="宋体"/>
          <w:sz w:val="24"/>
        </w:rPr>
        <w:t>未完成案件结案并实现甲方案涉项目债权回收的；</w:t>
      </w:r>
    </w:p>
    <w:p>
      <w:pPr>
        <w:spacing w:line="560" w:lineRule="exact"/>
        <w:ind w:firstLine="480" w:firstLineChars="200"/>
        <w:rPr>
          <w:rFonts w:ascii="宋体" w:cs="宋体"/>
          <w:sz w:val="24"/>
        </w:rPr>
      </w:pPr>
      <w:r>
        <w:rPr>
          <w:rFonts w:ascii="宋体" w:cs="宋体"/>
          <w:sz w:val="24"/>
        </w:rPr>
        <w:t>4.</w:t>
      </w:r>
      <w:r>
        <w:rPr>
          <w:rFonts w:hint="eastAsia" w:ascii="宋体" w:cs="宋体"/>
          <w:sz w:val="24"/>
        </w:rPr>
        <w:t>因乙方律师工作延误、失职、失误导致甲方受到损失的。</w:t>
      </w:r>
    </w:p>
    <w:p>
      <w:pPr>
        <w:spacing w:line="560" w:lineRule="exact"/>
        <w:ind w:firstLine="480" w:firstLineChars="200"/>
        <w:rPr>
          <w:rFonts w:ascii="宋体" w:cs="宋体"/>
          <w:sz w:val="24"/>
        </w:rPr>
      </w:pPr>
      <w:r>
        <w:rPr>
          <w:rFonts w:ascii="宋体" w:cs="宋体"/>
          <w:sz w:val="24"/>
        </w:rPr>
        <w:t>5.</w:t>
      </w:r>
      <w:r>
        <w:rPr>
          <w:rFonts w:hint="eastAsia" w:ascii="宋体" w:cs="宋体"/>
          <w:sz w:val="24"/>
        </w:rPr>
        <w:t>未经甲方书面许可，乙方或乙方指派律师在报纸、微博、微信、网站等媒介上发布甲方本案法律中介服务招标、中标，案件情况以及与案件有关的信息的；</w:t>
      </w:r>
    </w:p>
    <w:p>
      <w:pPr>
        <w:spacing w:line="560" w:lineRule="exact"/>
        <w:ind w:firstLine="480" w:firstLineChars="200"/>
        <w:rPr>
          <w:rFonts w:ascii="宋体" w:cs="宋体"/>
          <w:sz w:val="24"/>
        </w:rPr>
      </w:pPr>
      <w:r>
        <w:rPr>
          <w:rFonts w:ascii="宋体" w:cs="宋体"/>
          <w:sz w:val="24"/>
        </w:rPr>
        <w:t>6.甲方将在每年末</w:t>
      </w:r>
      <w:r>
        <w:rPr>
          <w:rFonts w:hint="eastAsia" w:ascii="宋体" w:cs="宋体"/>
          <w:sz w:val="24"/>
        </w:rPr>
        <w:t>，</w:t>
      </w:r>
      <w:r>
        <w:rPr>
          <w:rFonts w:ascii="宋体" w:cs="宋体"/>
          <w:sz w:val="24"/>
        </w:rPr>
        <w:t>对该年度法律服务工作进行考核评价</w:t>
      </w:r>
      <w:r>
        <w:rPr>
          <w:rFonts w:hint="eastAsia" w:ascii="宋体" w:cs="宋体"/>
          <w:sz w:val="24"/>
        </w:rPr>
        <w:t>，</w:t>
      </w:r>
      <w:r>
        <w:rPr>
          <w:rFonts w:ascii="宋体" w:cs="宋体"/>
          <w:sz w:val="24"/>
        </w:rPr>
        <w:t>考核结果为不合格的</w:t>
      </w:r>
      <w:r>
        <w:rPr>
          <w:rFonts w:hint="eastAsia" w:ascii="宋体" w:cs="宋体"/>
          <w:sz w:val="24"/>
        </w:rPr>
        <w:t>；</w:t>
      </w:r>
    </w:p>
    <w:p>
      <w:pPr>
        <w:spacing w:line="560" w:lineRule="exact"/>
        <w:ind w:firstLine="480" w:firstLineChars="200"/>
        <w:rPr>
          <w:rFonts w:ascii="宋体" w:cs="宋体"/>
          <w:sz w:val="24"/>
        </w:rPr>
      </w:pPr>
      <w:r>
        <w:rPr>
          <w:rFonts w:ascii="宋体" w:cs="宋体"/>
          <w:sz w:val="24"/>
        </w:rPr>
        <w:t>7.本协议约定的服务事务原则上应当由本合同</w:t>
      </w:r>
      <w:r>
        <w:rPr>
          <w:rFonts w:hint="eastAsia" w:ascii="宋体" w:cs="宋体"/>
          <w:sz w:val="24"/>
        </w:rPr>
        <w:t>第一条规定中</w:t>
      </w:r>
      <w:r>
        <w:rPr>
          <w:rFonts w:ascii="宋体" w:cs="宋体"/>
          <w:sz w:val="24"/>
        </w:rPr>
        <w:t>指定</w:t>
      </w:r>
      <w:r>
        <w:rPr>
          <w:rFonts w:hint="eastAsia" w:ascii="宋体" w:cs="宋体"/>
          <w:sz w:val="24"/>
        </w:rPr>
        <w:t>的主办律师完成，未经甲方书面同意，乙方更换主办律师的；</w:t>
      </w:r>
      <w:r>
        <w:rPr>
          <w:rFonts w:ascii="宋体" w:cs="宋体"/>
          <w:sz w:val="24"/>
        </w:rPr>
        <w:t xml:space="preserve"> </w:t>
      </w:r>
    </w:p>
    <w:p>
      <w:pPr>
        <w:spacing w:line="560" w:lineRule="exact"/>
        <w:ind w:firstLine="480" w:firstLineChars="200"/>
        <w:rPr>
          <w:rFonts w:ascii="宋体" w:cs="宋体"/>
          <w:sz w:val="24"/>
        </w:rPr>
      </w:pPr>
      <w:r>
        <w:rPr>
          <w:rFonts w:ascii="宋体" w:cs="宋体"/>
          <w:sz w:val="24"/>
        </w:rPr>
        <w:t>8.</w:t>
      </w:r>
      <w:r>
        <w:rPr>
          <w:rFonts w:hint="eastAsia" w:ascii="宋体" w:cs="宋体"/>
          <w:sz w:val="24"/>
        </w:rPr>
        <w:t>违反本合同第二条第（三）～（九）项规定的义务之一的。</w:t>
      </w:r>
    </w:p>
    <w:p>
      <w:pPr>
        <w:spacing w:line="560" w:lineRule="exact"/>
        <w:ind w:firstLine="480" w:firstLineChars="200"/>
        <w:rPr>
          <w:rFonts w:ascii="宋体" w:cs="宋体"/>
          <w:sz w:val="24"/>
        </w:rPr>
      </w:pPr>
      <w:r>
        <w:rPr>
          <w:rFonts w:hint="eastAsia" w:ascii="宋体" w:cs="宋体"/>
          <w:sz w:val="24"/>
        </w:rPr>
        <w:t>（二）出现上述解除合同情形的，甲方有权书面致函乙方解除合同，解除合同函件送达乙方之时发生合同解除效力。</w:t>
      </w:r>
    </w:p>
    <w:p>
      <w:pPr>
        <w:spacing w:line="560" w:lineRule="exact"/>
        <w:rPr>
          <w:rFonts w:ascii="宋体" w:cs="宋体"/>
          <w:b/>
          <w:bCs/>
          <w:sz w:val="24"/>
        </w:rPr>
      </w:pPr>
      <w:r>
        <w:rPr>
          <w:rFonts w:hint="eastAsia" w:ascii="宋体" w:cs="宋体"/>
          <w:b/>
          <w:bCs/>
          <w:sz w:val="24"/>
        </w:rPr>
        <w:t>第八条  违约责任</w:t>
      </w:r>
    </w:p>
    <w:p>
      <w:pPr>
        <w:spacing w:line="560" w:lineRule="exact"/>
        <w:ind w:firstLine="480" w:firstLineChars="200"/>
        <w:rPr>
          <w:rFonts w:ascii="宋体" w:cs="宋体"/>
          <w:sz w:val="24"/>
        </w:rPr>
      </w:pPr>
      <w:r>
        <w:rPr>
          <w:rFonts w:hint="eastAsia" w:ascii="宋体" w:cs="宋体"/>
          <w:sz w:val="24"/>
        </w:rPr>
        <w:t>1.乙方无正当理由不提供本合同第一条规定项下任意一款法律服务的，甲方有权要求乙方退还部分或者全部已付律师服务费。</w:t>
      </w:r>
    </w:p>
    <w:p>
      <w:pPr>
        <w:spacing w:line="560" w:lineRule="exact"/>
        <w:ind w:firstLine="480" w:firstLineChars="200"/>
        <w:rPr>
          <w:rFonts w:ascii="宋体" w:cs="宋体"/>
          <w:sz w:val="24"/>
        </w:rPr>
      </w:pPr>
      <w:r>
        <w:rPr>
          <w:rFonts w:hint="eastAsia" w:ascii="宋体" w:cs="宋体"/>
          <w:sz w:val="24"/>
        </w:rPr>
        <w:t>2.乙方律师因工作延误、失职、失误导致甲方蒙受损失，或者违反本合同第二条第（三）～（九）项规定的义务之一的，乙方应当向甲方承担赔偿责任。</w:t>
      </w:r>
    </w:p>
    <w:p>
      <w:pPr>
        <w:spacing w:line="560" w:lineRule="exact"/>
        <w:rPr>
          <w:rFonts w:ascii="宋体" w:cs="宋体"/>
          <w:b/>
          <w:bCs/>
          <w:sz w:val="24"/>
        </w:rPr>
      </w:pPr>
      <w:r>
        <w:rPr>
          <w:rFonts w:hint="eastAsia" w:ascii="宋体" w:cs="宋体"/>
          <w:b/>
          <w:bCs/>
          <w:sz w:val="24"/>
        </w:rPr>
        <w:t>第九条  其他约定</w:t>
      </w:r>
    </w:p>
    <w:p>
      <w:pPr>
        <w:spacing w:line="560" w:lineRule="exact"/>
        <w:ind w:firstLine="480" w:firstLineChars="200"/>
        <w:rPr>
          <w:rFonts w:ascii="宋体" w:cs="宋体"/>
          <w:sz w:val="24"/>
        </w:rPr>
      </w:pPr>
      <w:r>
        <w:rPr>
          <w:rFonts w:hint="eastAsia" w:ascii="宋体" w:cs="宋体"/>
          <w:sz w:val="24"/>
        </w:rPr>
        <w:t>1.本合同未尽事宜，由双方协商并另订书面协议解决。</w:t>
      </w:r>
    </w:p>
    <w:p>
      <w:pPr>
        <w:spacing w:line="560" w:lineRule="exact"/>
        <w:ind w:firstLine="480" w:firstLineChars="200"/>
        <w:rPr>
          <w:rFonts w:ascii="宋体" w:cs="宋体"/>
          <w:sz w:val="24"/>
        </w:rPr>
      </w:pPr>
      <w:r>
        <w:rPr>
          <w:rFonts w:hint="eastAsia" w:ascii="宋体" w:cs="宋体"/>
          <w:sz w:val="24"/>
        </w:rPr>
        <w:t>2.乙方确认：已认真审阅本合同所有条款并完全了解其详尽内容，本合同所有条款均由甲乙双方协商一致达成，不存在欺诈、胁迫、误解等情形。</w:t>
      </w:r>
    </w:p>
    <w:p>
      <w:pPr>
        <w:spacing w:line="560" w:lineRule="exact"/>
        <w:rPr>
          <w:rFonts w:ascii="宋体" w:cs="宋体"/>
          <w:b/>
          <w:sz w:val="24"/>
        </w:rPr>
      </w:pPr>
      <w:r>
        <w:rPr>
          <w:rFonts w:hint="eastAsia" w:ascii="宋体" w:cs="宋体"/>
          <w:b/>
          <w:sz w:val="24"/>
        </w:rPr>
        <w:t>第十条  争议的解决</w:t>
      </w:r>
    </w:p>
    <w:p>
      <w:pPr>
        <w:spacing w:line="560" w:lineRule="exact"/>
        <w:ind w:firstLine="480" w:firstLineChars="200"/>
        <w:rPr>
          <w:rFonts w:ascii="宋体" w:cs="宋体"/>
          <w:sz w:val="24"/>
        </w:rPr>
      </w:pPr>
      <w:r>
        <w:rPr>
          <w:rFonts w:hint="eastAsia" w:ascii="宋体" w:cs="宋体"/>
          <w:sz w:val="24"/>
        </w:rPr>
        <w:t>甲乙双方因履行本合同发生纠纷，应友好协商解决。如协商不成，任何一方均有权向成都市金牛区法院提起诉讼。</w:t>
      </w:r>
    </w:p>
    <w:p>
      <w:pPr>
        <w:spacing w:line="560" w:lineRule="exact"/>
        <w:rPr>
          <w:rFonts w:ascii="宋体" w:cs="宋体"/>
          <w:b/>
          <w:bCs/>
          <w:sz w:val="24"/>
        </w:rPr>
      </w:pPr>
      <w:r>
        <w:rPr>
          <w:rFonts w:hint="eastAsia" w:ascii="宋体" w:cs="宋体"/>
          <w:b/>
          <w:bCs/>
          <w:sz w:val="24"/>
        </w:rPr>
        <w:t>第十一条  合同的生效</w:t>
      </w:r>
    </w:p>
    <w:p>
      <w:pPr>
        <w:spacing w:line="560" w:lineRule="exact"/>
        <w:ind w:firstLine="480" w:firstLineChars="200"/>
        <w:rPr>
          <w:rFonts w:ascii="宋体" w:cs="宋体"/>
          <w:sz w:val="24"/>
        </w:rPr>
      </w:pPr>
      <w:r>
        <w:rPr>
          <w:rFonts w:hint="eastAsia" w:ascii="宋体" w:cs="宋体"/>
          <w:sz w:val="24"/>
        </w:rPr>
        <w:t>本合同一式八份，甲、乙双方各持四份，具有同等法律效力，经甲、乙双方签章后发生效力。</w:t>
      </w:r>
    </w:p>
    <w:p>
      <w:pPr>
        <w:spacing w:line="560" w:lineRule="exact"/>
        <w:rPr>
          <w:rFonts w:ascii="宋体" w:cs="宋体"/>
          <w:b/>
          <w:color w:val="000000"/>
          <w:sz w:val="24"/>
        </w:rPr>
      </w:pPr>
      <w:r>
        <w:rPr>
          <w:rFonts w:hint="eastAsia" w:ascii="宋体" w:cs="宋体"/>
          <w:b/>
          <w:color w:val="000000"/>
          <w:sz w:val="24"/>
        </w:rPr>
        <w:t>第十二条  通知和送达</w:t>
      </w:r>
    </w:p>
    <w:p>
      <w:pPr>
        <w:spacing w:line="560" w:lineRule="exact"/>
        <w:ind w:firstLine="480" w:firstLineChars="200"/>
        <w:rPr>
          <w:rFonts w:ascii="宋体" w:cs="宋体"/>
          <w:color w:val="000000"/>
          <w:sz w:val="24"/>
        </w:rPr>
      </w:pPr>
      <w:r>
        <w:rPr>
          <w:rFonts w:hint="eastAsia" w:ascii="宋体" w:cs="宋体"/>
          <w:color w:val="000000"/>
          <w:sz w:val="24"/>
        </w:rPr>
        <w:t>甲乙双方因履行本合同而相互发出或者提供的所有通知、文件、资料，均以甲、乙双方本合同载明的住所地为送达地址，向该地址送达通知即视为向对方履行了通知义务。一方如果迁址或者变更联系方式，应当书面通知对方，未书面通知变更的，向以本合同载明的地址送达书面通知、文件、资料的视为有效送达。</w:t>
      </w:r>
    </w:p>
    <w:p>
      <w:pPr>
        <w:spacing w:line="560" w:lineRule="exact"/>
        <w:ind w:firstLine="480" w:firstLineChars="200"/>
        <w:rPr>
          <w:rFonts w:ascii="宋体" w:cs="宋体"/>
          <w:sz w:val="24"/>
        </w:rPr>
      </w:pPr>
      <w:r>
        <w:rPr>
          <w:rFonts w:hint="eastAsia" w:ascii="宋体" w:cs="宋体"/>
          <w:color w:val="000000"/>
          <w:sz w:val="24"/>
        </w:rPr>
        <w:t>（以下无正文）</w:t>
      </w:r>
    </w:p>
    <w:p>
      <w:pPr>
        <w:spacing w:line="560" w:lineRule="exact"/>
        <w:rPr>
          <w:rFonts w:ascii="宋体" w:cs="宋体"/>
          <w:sz w:val="24"/>
        </w:rPr>
      </w:pPr>
      <w:r>
        <w:rPr>
          <w:rFonts w:hint="eastAsia" w:ascii="宋体" w:cs="宋体"/>
          <w:sz w:val="24"/>
        </w:rPr>
        <w:t>　　甲    方（盖章）： 四川省第六建筑有限公司</w:t>
      </w:r>
    </w:p>
    <w:p>
      <w:pPr>
        <w:spacing w:line="560" w:lineRule="exact"/>
        <w:ind w:firstLine="479"/>
        <w:rPr>
          <w:rFonts w:ascii="宋体" w:cs="宋体"/>
          <w:sz w:val="24"/>
        </w:rPr>
      </w:pPr>
      <w:r>
        <w:rPr>
          <w:rFonts w:hint="eastAsia" w:ascii="宋体" w:cs="宋体"/>
          <w:sz w:val="24"/>
        </w:rPr>
        <w:t xml:space="preserve">授权代表（签名）：_______________________ </w:t>
      </w:r>
    </w:p>
    <w:p>
      <w:pPr>
        <w:spacing w:line="560" w:lineRule="exact"/>
        <w:ind w:firstLine="480" w:firstLineChars="200"/>
        <w:jc w:val="left"/>
        <w:rPr>
          <w:rFonts w:ascii="宋体" w:cs="宋体"/>
          <w:sz w:val="24"/>
        </w:rPr>
      </w:pPr>
      <w:r>
        <w:rPr>
          <w:rFonts w:hint="eastAsia" w:ascii="宋体" w:cs="宋体"/>
          <w:sz w:val="24"/>
        </w:rPr>
        <w:t>住所地及通信地址：</w:t>
      </w:r>
      <w:r>
        <w:rPr>
          <w:rFonts w:hint="eastAsia" w:ascii="宋体" w:cs="宋体"/>
          <w:sz w:val="24"/>
          <w:u w:val="single"/>
        </w:rPr>
        <w:t xml:space="preserve">  成都市星辉中路1</w:t>
      </w:r>
      <w:r>
        <w:rPr>
          <w:rFonts w:ascii="宋体" w:cs="宋体"/>
          <w:sz w:val="24"/>
          <w:u w:val="single"/>
        </w:rPr>
        <w:t>6号</w:t>
      </w:r>
      <w:r>
        <w:rPr>
          <w:rFonts w:hint="eastAsia" w:ascii="宋体" w:cs="宋体"/>
          <w:sz w:val="24"/>
          <w:u w:val="single"/>
        </w:rPr>
        <w:t xml:space="preserve">  </w:t>
      </w:r>
      <w:r>
        <w:rPr>
          <w:rFonts w:hint="eastAsia" w:ascii="宋体" w:cs="宋体"/>
          <w:sz w:val="24"/>
        </w:rPr>
        <w:t xml:space="preserve">   </w:t>
      </w:r>
    </w:p>
    <w:p>
      <w:pPr>
        <w:spacing w:line="560" w:lineRule="exact"/>
        <w:ind w:firstLine="480" w:firstLineChars="200"/>
        <w:jc w:val="left"/>
        <w:rPr>
          <w:rFonts w:ascii="宋体" w:cs="宋体"/>
          <w:sz w:val="24"/>
        </w:rPr>
      </w:pPr>
      <w:r>
        <w:rPr>
          <w:rFonts w:hint="eastAsia" w:ascii="宋体" w:cs="宋体"/>
          <w:sz w:val="24"/>
        </w:rPr>
        <w:t>签署日期：</w:t>
      </w:r>
      <w:r>
        <w:rPr>
          <w:rFonts w:hint="eastAsia" w:ascii="宋体" w:cs="宋体"/>
          <w:sz w:val="24"/>
          <w:u w:val="single"/>
        </w:rPr>
        <w:t xml:space="preserve">      </w:t>
      </w:r>
      <w:r>
        <w:rPr>
          <w:rFonts w:hint="eastAsia" w:ascii="宋体" w:cs="宋体"/>
          <w:sz w:val="24"/>
        </w:rPr>
        <w:t>年</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rPr>
        <w:t>日</w:t>
      </w:r>
    </w:p>
    <w:p>
      <w:pPr>
        <w:spacing w:line="560" w:lineRule="exact"/>
        <w:rPr>
          <w:rFonts w:ascii="宋体" w:cs="宋体"/>
          <w:sz w:val="24"/>
        </w:rPr>
      </w:pPr>
    </w:p>
    <w:p>
      <w:pPr>
        <w:spacing w:line="560" w:lineRule="exact"/>
        <w:ind w:firstLine="480" w:firstLineChars="200"/>
        <w:rPr>
          <w:rFonts w:ascii="宋体" w:cs="宋体"/>
          <w:sz w:val="24"/>
        </w:rPr>
      </w:pPr>
      <w:r>
        <w:rPr>
          <w:rFonts w:hint="eastAsia" w:ascii="宋体" w:cs="宋体"/>
          <w:sz w:val="24"/>
        </w:rPr>
        <w:t xml:space="preserve">乙    方（盖章）：_______________________                        </w:t>
      </w:r>
    </w:p>
    <w:p>
      <w:pPr>
        <w:spacing w:line="560" w:lineRule="exact"/>
        <w:rPr>
          <w:rFonts w:ascii="宋体" w:cs="宋体"/>
          <w:sz w:val="24"/>
        </w:rPr>
      </w:pPr>
      <w:r>
        <w:rPr>
          <w:rFonts w:hint="eastAsia" w:ascii="宋体" w:cs="宋体"/>
          <w:sz w:val="24"/>
        </w:rPr>
        <w:t xml:space="preserve">　　授权代表（签名）：_______________________                        </w:t>
      </w:r>
    </w:p>
    <w:p>
      <w:pPr>
        <w:spacing w:line="560" w:lineRule="exact"/>
        <w:ind w:firstLine="480" w:firstLineChars="200"/>
        <w:jc w:val="left"/>
        <w:rPr>
          <w:rFonts w:ascii="宋体" w:cs="宋体"/>
          <w:sz w:val="24"/>
        </w:rPr>
      </w:pPr>
      <w:r>
        <w:rPr>
          <w:rFonts w:hint="eastAsia" w:ascii="宋体" w:cs="宋体"/>
          <w:sz w:val="24"/>
        </w:rPr>
        <w:t xml:space="preserve">开户银行：_______________________________ </w:t>
      </w:r>
    </w:p>
    <w:p>
      <w:pPr>
        <w:spacing w:line="560" w:lineRule="exact"/>
        <w:ind w:firstLine="480" w:firstLineChars="200"/>
        <w:jc w:val="left"/>
        <w:rPr>
          <w:rFonts w:ascii="宋体" w:cs="宋体"/>
          <w:sz w:val="24"/>
        </w:rPr>
      </w:pPr>
      <w:r>
        <w:rPr>
          <w:rFonts w:hint="eastAsia" w:ascii="宋体" w:cs="宋体"/>
          <w:sz w:val="24"/>
        </w:rPr>
        <w:t>账    号：_______________________________</w:t>
      </w:r>
    </w:p>
    <w:p>
      <w:pPr>
        <w:spacing w:line="560" w:lineRule="exact"/>
        <w:ind w:firstLine="480" w:firstLineChars="200"/>
        <w:jc w:val="left"/>
        <w:rPr>
          <w:rFonts w:ascii="宋体" w:cs="宋体"/>
          <w:sz w:val="24"/>
          <w:u w:val="single"/>
        </w:rPr>
      </w:pPr>
      <w:r>
        <w:rPr>
          <w:rFonts w:hint="eastAsia" w:ascii="宋体" w:cs="宋体"/>
          <w:sz w:val="24"/>
        </w:rPr>
        <w:t>住所地及通信地址：</w:t>
      </w:r>
      <w:r>
        <w:rPr>
          <w:rFonts w:hint="eastAsia" w:ascii="宋体" w:cs="宋体"/>
          <w:sz w:val="24"/>
          <w:u w:val="single"/>
        </w:rPr>
        <w:t xml:space="preserve">                       </w:t>
      </w:r>
    </w:p>
    <w:p>
      <w:pPr>
        <w:spacing w:line="560" w:lineRule="exact"/>
        <w:ind w:firstLine="480" w:firstLineChars="200"/>
        <w:jc w:val="left"/>
        <w:rPr>
          <w:rFonts w:ascii="宋体" w:cs="宋体"/>
          <w:sz w:val="24"/>
        </w:rPr>
      </w:pPr>
      <w:r>
        <w:rPr>
          <w:rFonts w:hint="eastAsia" w:ascii="宋体" w:cs="宋体"/>
          <w:sz w:val="24"/>
        </w:rPr>
        <w:t>签署日期：</w:t>
      </w:r>
      <w:r>
        <w:rPr>
          <w:rFonts w:hint="eastAsia" w:ascii="宋体" w:cs="宋体"/>
          <w:sz w:val="24"/>
          <w:u w:val="single"/>
        </w:rPr>
        <w:t xml:space="preserve">      </w:t>
      </w:r>
      <w:r>
        <w:rPr>
          <w:rFonts w:hint="eastAsia" w:ascii="宋体" w:cs="宋体"/>
          <w:sz w:val="24"/>
        </w:rPr>
        <w:t>年</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rPr>
        <w:t>日</w:t>
      </w:r>
    </w:p>
    <w:p>
      <w:pPr>
        <w:tabs>
          <w:tab w:val="left" w:pos="0"/>
        </w:tabs>
        <w:spacing w:line="560" w:lineRule="exact"/>
        <w:rPr>
          <w:rFonts w:ascii="宋体" w:cs="宋体"/>
          <w:b/>
          <w:bCs/>
          <w:sz w:val="44"/>
          <w:szCs w:val="32"/>
        </w:rPr>
      </w:pPr>
      <w:r>
        <w:rPr>
          <w:rFonts w:hint="eastAsia" w:ascii="宋体" w:cs="宋体"/>
          <w:b/>
          <w:sz w:val="24"/>
        </w:rPr>
        <w:t>八、投标文件格式（请中介机构严格按照样式填写，正式提交投标文件时将该条删除）</w:t>
      </w:r>
    </w:p>
    <w:p>
      <w:pPr>
        <w:pStyle w:val="2"/>
        <w:jc w:val="center"/>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spacing w:line="360" w:lineRule="auto"/>
        <w:jc w:val="center"/>
        <w:rPr>
          <w:rFonts w:ascii="宋体" w:cs="宋体"/>
          <w:b/>
          <w:bCs/>
          <w:sz w:val="44"/>
          <w:szCs w:val="32"/>
        </w:rPr>
      </w:pPr>
      <w:r>
        <w:rPr>
          <w:rFonts w:hint="eastAsia" w:ascii="宋体" w:cs="宋体"/>
          <w:b/>
          <w:bCs/>
          <w:sz w:val="44"/>
          <w:szCs w:val="32"/>
        </w:rPr>
        <w:t>四川省第六建筑有限公司</w:t>
      </w:r>
    </w:p>
    <w:p>
      <w:pPr>
        <w:spacing w:line="360" w:lineRule="auto"/>
        <w:jc w:val="center"/>
        <w:rPr>
          <w:rFonts w:ascii="宋体" w:cs="宋体"/>
          <w:b/>
          <w:bCs/>
          <w:sz w:val="44"/>
          <w:szCs w:val="32"/>
        </w:rPr>
      </w:pPr>
      <w:r>
        <w:rPr>
          <w:rFonts w:hint="eastAsia" w:ascii="宋体" w:cs="宋体"/>
          <w:b/>
          <w:bCs/>
          <w:sz w:val="44"/>
          <w:szCs w:val="32"/>
        </w:rPr>
        <w:t>法律服务</w:t>
      </w:r>
    </w:p>
    <w:p>
      <w:pPr>
        <w:spacing w:line="360" w:lineRule="auto"/>
        <w:jc w:val="center"/>
        <w:rPr>
          <w:rFonts w:ascii="宋体" w:cs="宋体"/>
          <w:b/>
          <w:bCs/>
          <w:sz w:val="44"/>
          <w:szCs w:val="32"/>
        </w:rPr>
      </w:pPr>
    </w:p>
    <w:p>
      <w:pPr>
        <w:spacing w:line="360" w:lineRule="auto"/>
        <w:jc w:val="center"/>
        <w:rPr>
          <w:rFonts w:ascii="宋体" w:cs="宋体"/>
          <w:b/>
          <w:bCs/>
          <w:sz w:val="44"/>
          <w:szCs w:val="32"/>
        </w:rPr>
      </w:pPr>
    </w:p>
    <w:p>
      <w:pPr>
        <w:spacing w:line="360" w:lineRule="auto"/>
        <w:jc w:val="center"/>
        <w:rPr>
          <w:rFonts w:ascii="宋体" w:cs="宋体"/>
          <w:sz w:val="32"/>
          <w:szCs w:val="32"/>
        </w:rPr>
      </w:pPr>
    </w:p>
    <w:p>
      <w:pPr>
        <w:jc w:val="center"/>
        <w:rPr>
          <w:rFonts w:ascii="宋体" w:cs="宋体"/>
          <w:b/>
          <w:bCs/>
          <w:sz w:val="72"/>
          <w:szCs w:val="72"/>
        </w:rPr>
      </w:pPr>
      <w:r>
        <w:rPr>
          <w:rFonts w:hint="eastAsia" w:ascii="宋体" w:cs="宋体"/>
          <w:b/>
          <w:bCs/>
          <w:sz w:val="72"/>
          <w:szCs w:val="72"/>
        </w:rPr>
        <w:t>投</w:t>
      </w:r>
    </w:p>
    <w:p>
      <w:pPr>
        <w:jc w:val="center"/>
        <w:rPr>
          <w:rFonts w:ascii="宋体" w:cs="宋体"/>
          <w:b/>
          <w:bCs/>
          <w:sz w:val="72"/>
          <w:szCs w:val="72"/>
        </w:rPr>
      </w:pPr>
      <w:r>
        <w:rPr>
          <w:rFonts w:hint="eastAsia" w:ascii="宋体" w:cs="宋体"/>
          <w:b/>
          <w:bCs/>
          <w:sz w:val="72"/>
          <w:szCs w:val="72"/>
        </w:rPr>
        <w:t>标</w:t>
      </w:r>
    </w:p>
    <w:p>
      <w:pPr>
        <w:jc w:val="center"/>
        <w:rPr>
          <w:rFonts w:ascii="宋体" w:cs="宋体"/>
          <w:b/>
          <w:bCs/>
          <w:sz w:val="72"/>
          <w:szCs w:val="72"/>
        </w:rPr>
      </w:pPr>
      <w:r>
        <w:rPr>
          <w:rFonts w:hint="eastAsia" w:ascii="宋体" w:cs="宋体"/>
          <w:b/>
          <w:bCs/>
          <w:sz w:val="72"/>
          <w:szCs w:val="72"/>
        </w:rPr>
        <w:t>文</w:t>
      </w:r>
    </w:p>
    <w:p>
      <w:pPr>
        <w:jc w:val="center"/>
        <w:rPr>
          <w:rFonts w:ascii="宋体" w:cs="宋体"/>
          <w:b/>
          <w:bCs/>
          <w:sz w:val="72"/>
          <w:szCs w:val="72"/>
        </w:rPr>
      </w:pPr>
      <w:r>
        <w:rPr>
          <w:rFonts w:hint="eastAsia" w:ascii="宋体" w:cs="宋体"/>
          <w:b/>
          <w:bCs/>
          <w:sz w:val="72"/>
          <w:szCs w:val="72"/>
        </w:rPr>
        <w:t>件</w:t>
      </w:r>
    </w:p>
    <w:p>
      <w:pPr>
        <w:jc w:val="center"/>
        <w:rPr>
          <w:rFonts w:ascii="宋体" w:cs="宋体"/>
          <w:b/>
          <w:bCs/>
          <w:sz w:val="72"/>
          <w:szCs w:val="72"/>
        </w:rPr>
      </w:pPr>
    </w:p>
    <w:p>
      <w:pPr>
        <w:pStyle w:val="2"/>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widowControl/>
        <w:adjustRightInd w:val="0"/>
        <w:snapToGrid w:val="0"/>
        <w:spacing w:line="360" w:lineRule="auto"/>
        <w:ind w:right="680" w:firstLine="2835" w:firstLineChars="1350"/>
        <w:jc w:val="left"/>
        <w:rPr>
          <w:rStyle w:val="18"/>
          <w:rFonts w:ascii="宋体" w:cs="宋体"/>
          <w:caps/>
        </w:rPr>
      </w:pPr>
    </w:p>
    <w:p>
      <w:pPr>
        <w:jc w:val="center"/>
        <w:rPr>
          <w:rFonts w:ascii="宋体" w:cs="宋体"/>
          <w:b/>
          <w:bCs/>
          <w:sz w:val="24"/>
        </w:rPr>
      </w:pPr>
      <w:r>
        <w:rPr>
          <w:rFonts w:hint="eastAsia" w:ascii="宋体" w:cs="宋体"/>
          <w:b/>
          <w:bCs/>
          <w:sz w:val="24"/>
        </w:rPr>
        <w:t xml:space="preserve"> 投标人：</w:t>
      </w:r>
    </w:p>
    <w:p>
      <w:pPr>
        <w:jc w:val="center"/>
        <w:rPr>
          <w:rFonts w:ascii="宋体" w:cs="宋体"/>
          <w:b/>
          <w:bCs/>
          <w:sz w:val="24"/>
        </w:rPr>
      </w:pPr>
    </w:p>
    <w:p>
      <w:pPr>
        <w:jc w:val="center"/>
        <w:rPr>
          <w:rFonts w:ascii="宋体" w:cs="宋体"/>
          <w:b/>
          <w:bCs/>
          <w:sz w:val="24"/>
        </w:rPr>
      </w:pPr>
      <w:r>
        <w:rPr>
          <w:rFonts w:hint="eastAsia" w:ascii="宋体" w:cs="宋体"/>
          <w:b/>
          <w:bCs/>
          <w:sz w:val="24"/>
        </w:rPr>
        <w:t>年   月   日</w:t>
      </w:r>
    </w:p>
    <w:p>
      <w:pPr>
        <w:rPr>
          <w:rFonts w:ascii="宋体" w:cs="宋体"/>
        </w:rPr>
      </w:pPr>
    </w:p>
    <w:p>
      <w:pPr>
        <w:rPr>
          <w:rFonts w:ascii="宋体" w:cs="宋体"/>
        </w:rPr>
      </w:pPr>
    </w:p>
    <w:p>
      <w:pPr>
        <w:pStyle w:val="2"/>
      </w:pPr>
    </w:p>
    <w:p>
      <w:pPr>
        <w:pStyle w:val="3"/>
      </w:pPr>
    </w:p>
    <w:p>
      <w:pPr>
        <w:pStyle w:val="3"/>
      </w:pPr>
    </w:p>
    <w:p>
      <w:pPr>
        <w:widowControl/>
        <w:spacing w:line="360" w:lineRule="atLeast"/>
        <w:jc w:val="center"/>
        <w:outlineLvl w:val="1"/>
        <w:rPr>
          <w:rFonts w:ascii="宋体" w:cs="宋体"/>
          <w:b/>
          <w:sz w:val="32"/>
          <w:szCs w:val="32"/>
        </w:rPr>
      </w:pPr>
      <w:r>
        <w:rPr>
          <w:rFonts w:hint="eastAsia" w:ascii="宋体" w:cs="宋体"/>
          <w:b/>
          <w:sz w:val="32"/>
          <w:szCs w:val="32"/>
        </w:rPr>
        <w:t>（一）报 价 函</w:t>
      </w:r>
    </w:p>
    <w:p>
      <w:pPr>
        <w:pStyle w:val="9"/>
        <w:spacing w:line="440" w:lineRule="exact"/>
        <w:ind w:left="420"/>
        <w:rPr>
          <w:rFonts w:ascii="宋体" w:eastAsia="宋体" w:cs="宋体"/>
          <w:sz w:val="24"/>
        </w:rPr>
      </w:pPr>
      <w:r>
        <w:rPr>
          <w:rFonts w:hint="eastAsia" w:ascii="宋体" w:eastAsia="宋体" w:cs="宋体"/>
          <w:sz w:val="24"/>
        </w:rPr>
        <w:t>__________________（招标人）：</w:t>
      </w:r>
    </w:p>
    <w:p>
      <w:pPr>
        <w:pStyle w:val="9"/>
        <w:spacing w:line="440" w:lineRule="exact"/>
        <w:ind w:left="420" w:firstLine="480" w:firstLineChars="200"/>
        <w:contextualSpacing/>
        <w:rPr>
          <w:rFonts w:ascii="宋体" w:eastAsia="宋体" w:cs="宋体"/>
          <w:sz w:val="24"/>
        </w:rPr>
      </w:pPr>
      <w:r>
        <w:rPr>
          <w:rFonts w:hint="eastAsia" w:ascii="宋体" w:eastAsia="宋体" w:cs="宋体"/>
          <w:sz w:val="24"/>
        </w:rPr>
        <w:t>我方全面研究了 “”招标文件，决定参加贵单位组织的本项目投标。</w:t>
      </w:r>
    </w:p>
    <w:p>
      <w:pPr>
        <w:pStyle w:val="9"/>
        <w:spacing w:line="440" w:lineRule="exact"/>
        <w:ind w:left="420" w:firstLine="480" w:firstLineChars="200"/>
        <w:contextualSpacing/>
        <w:rPr>
          <w:rFonts w:ascii="宋体" w:eastAsia="宋体" w:cs="宋体"/>
          <w:sz w:val="24"/>
        </w:rPr>
      </w:pPr>
      <w:r>
        <w:rPr>
          <w:rFonts w:hint="eastAsia" w:ascii="宋体" w:eastAsia="宋体" w:cs="宋体"/>
          <w:sz w:val="24"/>
        </w:rPr>
        <w:t>1、我方自愿按照招标文件规定的各项要求向招标人提供所需服务，服务费报价如下:</w:t>
      </w:r>
    </w:p>
    <w:p>
      <w:pPr>
        <w:pStyle w:val="2"/>
      </w:pPr>
      <w:r>
        <w:rPr>
          <w:rFonts w:hint="eastAsia"/>
        </w:rPr>
        <w:t xml:space="preserve">（1）基础费用报价： </w:t>
      </w:r>
    </w:p>
    <w:p>
      <w:pPr>
        <w:pStyle w:val="2"/>
      </w:pPr>
      <w:r>
        <w:rPr>
          <w:rFonts w:hint="eastAsia"/>
        </w:rPr>
        <w:t>（2）现金方式回收的：本金部分×%，利息及其他部分×%。</w:t>
      </w:r>
    </w:p>
    <w:p>
      <w:pPr>
        <w:widowControl/>
        <w:spacing w:line="560" w:lineRule="exact"/>
        <w:jc w:val="left"/>
        <w:rPr>
          <w:b/>
          <w:bCs/>
          <w:kern w:val="0"/>
          <w:sz w:val="24"/>
          <w:szCs w:val="28"/>
        </w:rPr>
      </w:pPr>
      <w:r>
        <w:rPr>
          <w:rFonts w:hint="eastAsia" w:ascii="Arial" w:hAnsi="Arial" w:eastAsia="黑体"/>
          <w:b/>
          <w:kern w:val="0"/>
          <w:sz w:val="24"/>
          <w:szCs w:val="28"/>
        </w:rPr>
        <w:t>（3）以调解或和解结案的：</w:t>
      </w:r>
      <w:r>
        <w:rPr>
          <w:rFonts w:hint="eastAsia" w:ascii="宋体" w:cs="宋体"/>
          <w:b/>
          <w:bCs/>
          <w:sz w:val="24"/>
        </w:rPr>
        <w:t>不论是否开庭，招标人通过调解、和解方式回款的，代理费按照中标价20%的比例收取。</w:t>
      </w:r>
    </w:p>
    <w:p>
      <w:pPr>
        <w:pStyle w:val="2"/>
      </w:pPr>
      <w:r>
        <w:rPr>
          <w:rFonts w:hint="eastAsia"/>
        </w:rPr>
        <w:t>（4）以物抵债方式回收的：在现金回收报价费率基础上打7折</w:t>
      </w:r>
    </w:p>
    <w:p>
      <w:pPr>
        <w:pStyle w:val="9"/>
        <w:spacing w:line="440" w:lineRule="exact"/>
        <w:ind w:left="420" w:firstLine="480" w:firstLineChars="200"/>
        <w:contextualSpacing/>
        <w:rPr>
          <w:rFonts w:ascii="宋体" w:eastAsia="宋体" w:cs="宋体"/>
          <w:sz w:val="24"/>
        </w:rPr>
      </w:pPr>
      <w:r>
        <w:rPr>
          <w:rFonts w:ascii="宋体" w:eastAsia="宋体" w:cs="宋体"/>
          <w:sz w:val="24"/>
        </w:rPr>
        <w:t>本报价已充分考虑了各种风险，包括招标文件要求的全部服务内容费</w:t>
      </w:r>
      <w:r>
        <w:rPr>
          <w:rFonts w:hint="eastAsia" w:ascii="宋体" w:eastAsia="宋体" w:cs="宋体"/>
          <w:sz w:val="24"/>
        </w:rPr>
        <w:t>用。</w:t>
      </w:r>
    </w:p>
    <w:p>
      <w:pPr>
        <w:pStyle w:val="9"/>
        <w:tabs>
          <w:tab w:val="left" w:pos="0"/>
        </w:tabs>
        <w:spacing w:line="440" w:lineRule="exact"/>
        <w:ind w:left="900" w:leftChars="0"/>
        <w:contextualSpacing/>
        <w:rPr>
          <w:rFonts w:ascii="宋体" w:eastAsia="宋体" w:cs="宋体"/>
          <w:sz w:val="24"/>
        </w:rPr>
      </w:pPr>
      <w:r>
        <w:rPr>
          <w:rFonts w:hint="eastAsia" w:ascii="宋体" w:eastAsia="宋体" w:cs="宋体"/>
          <w:sz w:val="24"/>
        </w:rPr>
        <w:t>2、一旦我方中标，我方将严格履行合同规定的责任和义务。</w:t>
      </w:r>
    </w:p>
    <w:p>
      <w:pPr>
        <w:pStyle w:val="9"/>
        <w:tabs>
          <w:tab w:val="left" w:pos="0"/>
        </w:tabs>
        <w:spacing w:line="440" w:lineRule="exact"/>
        <w:ind w:left="420" w:firstLine="480" w:firstLineChars="200"/>
        <w:contextualSpacing/>
        <w:rPr>
          <w:rFonts w:ascii="宋体" w:eastAsia="宋体" w:cs="宋体"/>
          <w:sz w:val="24"/>
        </w:rPr>
      </w:pPr>
      <w:r>
        <w:rPr>
          <w:rFonts w:hint="eastAsia" w:ascii="宋体" w:eastAsia="宋体" w:cs="宋体"/>
          <w:sz w:val="24"/>
        </w:rPr>
        <w:t>3、本投标自开标之日起三年内有效。</w:t>
      </w:r>
    </w:p>
    <w:p>
      <w:pPr>
        <w:pStyle w:val="9"/>
        <w:tabs>
          <w:tab w:val="left" w:pos="0"/>
        </w:tabs>
        <w:spacing w:line="440" w:lineRule="exact"/>
        <w:ind w:left="900" w:leftChars="0"/>
        <w:contextualSpacing/>
        <w:rPr>
          <w:rFonts w:ascii="宋体" w:eastAsia="宋体" w:cs="宋体"/>
          <w:sz w:val="24"/>
        </w:rPr>
      </w:pPr>
      <w:r>
        <w:rPr>
          <w:rFonts w:hint="eastAsia" w:ascii="宋体" w:eastAsia="宋体" w:cs="宋体"/>
          <w:sz w:val="24"/>
        </w:rPr>
        <w:t>4、我律所已经知晓招标文件中资质、资格等要求，我律所承诺符合所有要求。</w:t>
      </w:r>
    </w:p>
    <w:p>
      <w:pPr>
        <w:pStyle w:val="9"/>
        <w:tabs>
          <w:tab w:val="left" w:pos="0"/>
        </w:tabs>
        <w:spacing w:line="440" w:lineRule="exact"/>
        <w:ind w:left="420"/>
        <w:contextualSpacing/>
        <w:rPr>
          <w:rFonts w:ascii="宋体" w:eastAsia="宋体" w:cs="宋体"/>
          <w:sz w:val="24"/>
        </w:rPr>
      </w:pPr>
    </w:p>
    <w:p>
      <w:pPr>
        <w:pStyle w:val="9"/>
        <w:spacing w:line="440" w:lineRule="exact"/>
        <w:ind w:left="0" w:leftChars="0"/>
        <w:contextualSpacing/>
        <w:rPr>
          <w:rFonts w:ascii="宋体" w:eastAsia="宋体" w:cs="宋体"/>
          <w:sz w:val="24"/>
        </w:rPr>
      </w:pPr>
    </w:p>
    <w:p>
      <w:pPr>
        <w:pStyle w:val="9"/>
        <w:spacing w:line="360" w:lineRule="auto"/>
        <w:ind w:left="420" w:firstLine="480" w:firstLineChars="200"/>
        <w:contextualSpacing/>
        <w:rPr>
          <w:rFonts w:ascii="宋体" w:eastAsia="宋体" w:cs="宋体"/>
          <w:sz w:val="24"/>
        </w:rPr>
      </w:pPr>
      <w:r>
        <w:rPr>
          <w:rFonts w:hint="eastAsia" w:ascii="宋体" w:eastAsia="宋体" w:cs="宋体"/>
          <w:sz w:val="24"/>
        </w:rPr>
        <w:t xml:space="preserve">投标人名称：（盖章） </w:t>
      </w:r>
    </w:p>
    <w:p>
      <w:pPr>
        <w:pStyle w:val="9"/>
        <w:spacing w:line="360" w:lineRule="auto"/>
        <w:ind w:left="420" w:firstLine="480" w:firstLineChars="200"/>
        <w:contextualSpacing/>
        <w:rPr>
          <w:rFonts w:ascii="宋体" w:eastAsia="宋体" w:cs="宋体"/>
          <w:sz w:val="24"/>
        </w:rPr>
      </w:pPr>
      <w:r>
        <w:rPr>
          <w:rFonts w:hint="eastAsia" w:ascii="宋体" w:eastAsia="宋体" w:cs="宋体"/>
          <w:sz w:val="24"/>
        </w:rPr>
        <w:t>授权代表签字：</w:t>
      </w:r>
    </w:p>
    <w:p>
      <w:pPr>
        <w:pStyle w:val="9"/>
        <w:spacing w:line="360" w:lineRule="auto"/>
        <w:ind w:left="420" w:firstLine="480" w:firstLineChars="200"/>
        <w:contextualSpacing/>
        <w:rPr>
          <w:rFonts w:ascii="宋体" w:eastAsia="宋体" w:cs="宋体"/>
          <w:sz w:val="24"/>
        </w:rPr>
      </w:pPr>
      <w:r>
        <w:rPr>
          <w:rFonts w:hint="eastAsia" w:ascii="宋体" w:eastAsia="宋体" w:cs="宋体"/>
          <w:sz w:val="24"/>
        </w:rPr>
        <w:t>联系电话：</w:t>
      </w:r>
    </w:p>
    <w:p>
      <w:pPr>
        <w:pStyle w:val="9"/>
        <w:spacing w:line="360" w:lineRule="auto"/>
        <w:ind w:left="199" w:leftChars="95" w:firstLine="720" w:firstLineChars="300"/>
        <w:contextualSpacing/>
        <w:rPr>
          <w:rFonts w:ascii="宋体" w:eastAsia="宋体" w:cs="宋体"/>
          <w:sz w:val="24"/>
        </w:rPr>
      </w:pPr>
      <w:r>
        <w:rPr>
          <w:rFonts w:hint="eastAsia" w:ascii="宋体" w:eastAsia="宋体" w:cs="宋体"/>
          <w:sz w:val="24"/>
        </w:rPr>
        <w:t>日期：</w:t>
      </w:r>
    </w:p>
    <w:p>
      <w:pPr>
        <w:rPr>
          <w:rFonts w:ascii="宋体" w:cs="宋体"/>
          <w:sz w:val="28"/>
          <w:szCs w:val="28"/>
        </w:rPr>
      </w:pPr>
    </w:p>
    <w:p>
      <w:pPr>
        <w:pStyle w:val="2"/>
        <w:rPr>
          <w:rFonts w:ascii="宋体" w:eastAsia="宋体" w:cs="宋体"/>
          <w:sz w:val="28"/>
        </w:rPr>
      </w:pPr>
    </w:p>
    <w:p>
      <w:pPr>
        <w:widowControl/>
        <w:jc w:val="left"/>
        <w:rPr>
          <w:rFonts w:ascii="宋体" w:hAnsi="Arial" w:cs="宋体"/>
          <w:kern w:val="0"/>
          <w:szCs w:val="21"/>
        </w:rPr>
      </w:pPr>
      <w:r>
        <w:rPr>
          <w:rFonts w:ascii="宋体" w:cs="宋体"/>
        </w:rPr>
        <w:br w:type="page"/>
      </w:r>
    </w:p>
    <w:p>
      <w:pPr>
        <w:pStyle w:val="3"/>
        <w:rPr>
          <w:rFonts w:ascii="宋体" w:eastAsia="宋体" w:cs="宋体"/>
        </w:rPr>
      </w:pPr>
    </w:p>
    <w:p>
      <w:pPr>
        <w:widowControl/>
        <w:spacing w:line="360" w:lineRule="atLeast"/>
        <w:jc w:val="center"/>
        <w:outlineLvl w:val="1"/>
        <w:rPr>
          <w:rFonts w:ascii="宋体" w:cs="宋体"/>
          <w:b/>
          <w:sz w:val="32"/>
          <w:szCs w:val="32"/>
        </w:rPr>
      </w:pPr>
      <w:bookmarkStart w:id="87" w:name="_Toc15858"/>
      <w:r>
        <w:rPr>
          <w:rFonts w:hint="eastAsia" w:ascii="宋体" w:cs="宋体"/>
          <w:b/>
          <w:sz w:val="32"/>
          <w:szCs w:val="32"/>
        </w:rPr>
        <w:t>（二）承诺函</w:t>
      </w:r>
      <w:bookmarkEnd w:id="87"/>
    </w:p>
    <w:p>
      <w:pPr>
        <w:pStyle w:val="9"/>
        <w:spacing w:line="440" w:lineRule="exact"/>
        <w:ind w:left="0" w:leftChars="0"/>
        <w:rPr>
          <w:rFonts w:ascii="宋体" w:eastAsia="宋体" w:cs="宋体"/>
          <w:sz w:val="24"/>
        </w:rPr>
      </w:pPr>
      <w:bookmarkStart w:id="88" w:name="_Toc13575"/>
      <w:r>
        <w:rPr>
          <w:rFonts w:hint="eastAsia" w:ascii="宋体" w:eastAsia="宋体" w:cs="宋体"/>
          <w:sz w:val="24"/>
        </w:rPr>
        <w:t>（招标人）：</w:t>
      </w:r>
      <w:bookmarkEnd w:id="88"/>
    </w:p>
    <w:p>
      <w:pPr>
        <w:pStyle w:val="8"/>
        <w:rPr>
          <w:rFonts w:ascii="宋体" w:eastAsia="宋体" w:cs="宋体"/>
          <w:sz w:val="24"/>
        </w:rPr>
      </w:pPr>
      <w:bookmarkStart w:id="89" w:name="_Toc24334"/>
      <w:r>
        <w:rPr>
          <w:rFonts w:hint="eastAsia" w:ascii="宋体" w:eastAsia="宋体" w:cs="宋体"/>
          <w:sz w:val="24"/>
        </w:rPr>
        <w:t>我所作为本次招标项目的投标人，根据招标文件要求，现郑重承诺如下：</w:t>
      </w:r>
      <w:bookmarkEnd w:id="89"/>
    </w:p>
    <w:p>
      <w:pPr>
        <w:pStyle w:val="8"/>
        <w:rPr>
          <w:rFonts w:ascii="宋体" w:eastAsia="宋体" w:cs="宋体"/>
          <w:sz w:val="24"/>
        </w:rPr>
      </w:pPr>
      <w:bookmarkStart w:id="90" w:name="_Toc11920"/>
      <w:r>
        <w:rPr>
          <w:rFonts w:hint="eastAsia" w:ascii="宋体" w:eastAsia="宋体" w:cs="宋体"/>
          <w:sz w:val="24"/>
        </w:rPr>
        <w:t>一、具备以下规定的条件：</w:t>
      </w:r>
      <w:bookmarkEnd w:id="90"/>
    </w:p>
    <w:p>
      <w:pPr>
        <w:pStyle w:val="8"/>
        <w:spacing w:after="0"/>
        <w:ind w:firstLine="480" w:firstLineChars="200"/>
        <w:rPr>
          <w:rFonts w:ascii="宋体" w:eastAsia="宋体" w:cs="宋体"/>
          <w:sz w:val="24"/>
        </w:rPr>
      </w:pPr>
      <w:bookmarkStart w:id="91" w:name="_Toc9460"/>
      <w:r>
        <w:rPr>
          <w:rFonts w:hint="eastAsia" w:ascii="宋体" w:eastAsia="宋体" w:cs="宋体"/>
          <w:sz w:val="24"/>
        </w:rPr>
        <w:t xml:space="preserve">（一）具有独立承担民事责任的能力； </w:t>
      </w:r>
      <w:r>
        <w:rPr>
          <w:rFonts w:hint="eastAsia" w:ascii="宋体" w:eastAsia="宋体" w:cs="宋体"/>
          <w:sz w:val="24"/>
        </w:rPr>
        <w:br w:type="textWrapping"/>
      </w:r>
      <w:r>
        <w:rPr>
          <w:rFonts w:hint="eastAsia" w:ascii="宋体" w:eastAsia="宋体" w:cs="宋体"/>
          <w:sz w:val="24"/>
        </w:rPr>
        <w:t xml:space="preserve">　　（二）具有良好的商业信誉和健全的财务会计制度； </w:t>
      </w:r>
      <w:r>
        <w:rPr>
          <w:rFonts w:hint="eastAsia" w:ascii="宋体" w:eastAsia="宋体" w:cs="宋体"/>
          <w:sz w:val="24"/>
        </w:rPr>
        <w:br w:type="textWrapping"/>
      </w:r>
      <w:r>
        <w:rPr>
          <w:rFonts w:hint="eastAsia" w:ascii="宋体" w:eastAsia="宋体" w:cs="宋体"/>
          <w:sz w:val="24"/>
        </w:rPr>
        <w:t xml:space="preserve">　　（三）具有履行合同所必需的设备和专业技术能力； </w:t>
      </w:r>
      <w:r>
        <w:rPr>
          <w:rFonts w:hint="eastAsia" w:ascii="宋体" w:eastAsia="宋体" w:cs="宋体"/>
          <w:sz w:val="24"/>
        </w:rPr>
        <w:br w:type="textWrapping"/>
      </w:r>
      <w:r>
        <w:rPr>
          <w:rFonts w:hint="eastAsia" w:ascii="宋体" w:eastAsia="宋体" w:cs="宋体"/>
          <w:sz w:val="24"/>
        </w:rPr>
        <w:t xml:space="preserve">　　（四）有依法缴纳税收和社会保障资金的良好记录； </w:t>
      </w:r>
      <w:r>
        <w:rPr>
          <w:rFonts w:hint="eastAsia" w:ascii="宋体" w:eastAsia="宋体" w:cs="宋体"/>
          <w:sz w:val="24"/>
        </w:rPr>
        <w:br w:type="textWrapping"/>
      </w:r>
      <w:r>
        <w:rPr>
          <w:rFonts w:hint="eastAsia" w:ascii="宋体" w:eastAsia="宋体" w:cs="宋体"/>
          <w:sz w:val="24"/>
        </w:rPr>
        <w:t>　　（五）参加本次招标活动前三年内，在经营活动中没有重大违法记录；</w:t>
      </w:r>
      <w:bookmarkEnd w:id="91"/>
    </w:p>
    <w:p>
      <w:pPr>
        <w:pStyle w:val="8"/>
        <w:spacing w:after="0"/>
        <w:ind w:firstLine="480" w:firstLineChars="200"/>
        <w:rPr>
          <w:rFonts w:ascii="宋体" w:eastAsia="宋体" w:cs="宋体"/>
          <w:sz w:val="24"/>
        </w:rPr>
      </w:pPr>
      <w:bookmarkStart w:id="92" w:name="_Toc27134"/>
      <w:r>
        <w:rPr>
          <w:rFonts w:hint="eastAsia" w:ascii="宋体" w:eastAsia="宋体" w:cs="宋体"/>
          <w:sz w:val="24"/>
        </w:rPr>
        <w:t>（六）法律、行政法规规定的其他条件；</w:t>
      </w:r>
      <w:bookmarkEnd w:id="92"/>
    </w:p>
    <w:p>
      <w:pPr>
        <w:pStyle w:val="8"/>
        <w:spacing w:after="0"/>
        <w:ind w:firstLine="480" w:firstLineChars="200"/>
        <w:rPr>
          <w:rFonts w:ascii="宋体" w:eastAsia="宋体" w:cs="宋体"/>
          <w:sz w:val="24"/>
        </w:rPr>
      </w:pPr>
      <w:bookmarkStart w:id="93" w:name="_Toc23920"/>
      <w:r>
        <w:rPr>
          <w:rFonts w:hint="eastAsia" w:ascii="宋体" w:eastAsia="宋体" w:cs="宋体"/>
          <w:sz w:val="24"/>
        </w:rPr>
        <w:t>（七）招标文件提出的其他条件。</w:t>
      </w:r>
      <w:bookmarkEnd w:id="93"/>
    </w:p>
    <w:p>
      <w:pPr>
        <w:pStyle w:val="8"/>
        <w:rPr>
          <w:rFonts w:ascii="宋体" w:eastAsia="宋体" w:cs="宋体"/>
          <w:sz w:val="24"/>
        </w:rPr>
      </w:pPr>
      <w:bookmarkStart w:id="94" w:name="_Toc18904"/>
      <w:r>
        <w:rPr>
          <w:rFonts w:hint="eastAsia" w:ascii="宋体" w:eastAsia="宋体" w:cs="宋体"/>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bookmarkEnd w:id="94"/>
    </w:p>
    <w:p>
      <w:pPr>
        <w:pStyle w:val="8"/>
        <w:rPr>
          <w:rFonts w:ascii="宋体" w:eastAsia="宋体" w:cs="宋体"/>
          <w:sz w:val="24"/>
        </w:rPr>
      </w:pPr>
      <w:bookmarkStart w:id="95" w:name="_Toc17688"/>
      <w:r>
        <w:rPr>
          <w:rFonts w:hint="eastAsia" w:ascii="宋体" w:eastAsia="宋体" w:cs="宋体"/>
          <w:sz w:val="24"/>
        </w:rPr>
        <w:t>三、不存在与招标人负责人为同一人或者与存在直接控股、管理关系的其他投标人参与同一合同项下的招标采购活动的情形。</w:t>
      </w:r>
      <w:bookmarkEnd w:id="95"/>
    </w:p>
    <w:p>
      <w:pPr>
        <w:pStyle w:val="8"/>
        <w:rPr>
          <w:rFonts w:ascii="宋体" w:eastAsia="宋体" w:cs="宋体"/>
          <w:strike/>
          <w:sz w:val="24"/>
        </w:rPr>
      </w:pPr>
      <w:bookmarkStart w:id="96" w:name="_Toc5089"/>
      <w:r>
        <w:rPr>
          <w:rFonts w:hint="eastAsia" w:ascii="宋体" w:eastAsia="宋体" w:cs="宋体"/>
          <w:sz w:val="24"/>
        </w:rPr>
        <w:t>四、不存在和其他投标人在同一合同项下的招标项目中，同时委托同一个自然人、同一家庭的人员、同一单位的人员作为代理人的行为。</w:t>
      </w:r>
      <w:bookmarkEnd w:id="96"/>
    </w:p>
    <w:p>
      <w:pPr>
        <w:rPr>
          <w:rFonts w:ascii="宋体" w:cs="宋体"/>
          <w:b/>
          <w:bCs/>
          <w:sz w:val="24"/>
        </w:rPr>
      </w:pPr>
      <w:r>
        <w:rPr>
          <w:rFonts w:hint="eastAsia" w:ascii="宋体" w:cs="宋体"/>
          <w:b/>
          <w:bCs/>
          <w:sz w:val="24"/>
        </w:rPr>
        <w:t>五、我所承诺：《四川省第六建筑有限公司法律服务招标文件（省六建（202</w:t>
      </w:r>
      <w:r>
        <w:rPr>
          <w:rFonts w:ascii="宋体" w:cs="宋体"/>
          <w:b/>
          <w:bCs/>
          <w:sz w:val="24"/>
        </w:rPr>
        <w:t>3</w:t>
      </w:r>
      <w:r>
        <w:rPr>
          <w:rFonts w:hint="eastAsia" w:ascii="宋体" w:cs="宋体"/>
          <w:b/>
          <w:bCs/>
          <w:sz w:val="24"/>
        </w:rPr>
        <w:t xml:space="preserve">）法公招 </w:t>
      </w:r>
      <w:r>
        <w:rPr>
          <w:rFonts w:ascii="宋体" w:cs="宋体"/>
          <w:b/>
          <w:bCs/>
          <w:sz w:val="24"/>
        </w:rPr>
        <w:t>1</w:t>
      </w:r>
      <w:r>
        <w:rPr>
          <w:rFonts w:hint="eastAsia" w:ascii="宋体" w:cs="宋体"/>
          <w:b/>
          <w:bCs/>
          <w:sz w:val="24"/>
        </w:rPr>
        <w:t>号）》及相关证据材料仅用于本案案情分析，我所会妥善保管，保证不泄露，保密的程度应不低于我所对自己的保密信息所采取的保密措施和审慎程度。仅我所的下述人员可接触保密信息：投标唱标人员、参与本案分析人员。未经招标人事先书面同意，我所不会以任何方式使任何第三方知悉保密信息，也不会将保密信息用于他用。</w:t>
      </w:r>
    </w:p>
    <w:p>
      <w:pPr>
        <w:pStyle w:val="8"/>
        <w:rPr>
          <w:rFonts w:ascii="宋体" w:eastAsia="宋体" w:cs="宋体"/>
          <w:sz w:val="24"/>
        </w:rPr>
      </w:pPr>
    </w:p>
    <w:p>
      <w:pPr>
        <w:pStyle w:val="8"/>
        <w:rPr>
          <w:rFonts w:ascii="宋体" w:eastAsia="宋体" w:cs="宋体"/>
          <w:sz w:val="24"/>
        </w:rPr>
      </w:pPr>
      <w:bookmarkStart w:id="97" w:name="_Toc8220"/>
      <w:r>
        <w:rPr>
          <w:rFonts w:hint="eastAsia" w:ascii="宋体" w:eastAsia="宋体" w:cs="宋体"/>
          <w:sz w:val="24"/>
        </w:rPr>
        <w:t>我所对上述承诺内容的真实性负责。如经查实上述承诺的内容存在虚假，我所愿意承担以提供虚假材料谋取中标的法律责任。</w:t>
      </w:r>
      <w:bookmarkEnd w:id="97"/>
    </w:p>
    <w:p>
      <w:pPr>
        <w:pStyle w:val="8"/>
        <w:rPr>
          <w:rFonts w:ascii="宋体" w:eastAsia="宋体" w:cs="宋体"/>
          <w:sz w:val="24"/>
        </w:rPr>
      </w:pPr>
    </w:p>
    <w:p>
      <w:pPr>
        <w:pStyle w:val="8"/>
        <w:ind w:firstLine="480" w:firstLineChars="200"/>
        <w:rPr>
          <w:rFonts w:ascii="宋体" w:eastAsia="宋体" w:cs="宋体"/>
          <w:sz w:val="24"/>
        </w:rPr>
      </w:pPr>
      <w:r>
        <w:rPr>
          <w:rFonts w:hint="eastAsia" w:ascii="宋体" w:eastAsia="宋体" w:cs="宋体"/>
          <w:sz w:val="24"/>
        </w:rPr>
        <w:t>投标人名称：（盖章）</w:t>
      </w:r>
    </w:p>
    <w:p>
      <w:pPr>
        <w:pStyle w:val="8"/>
        <w:ind w:firstLine="480" w:firstLineChars="200"/>
        <w:rPr>
          <w:rFonts w:ascii="宋体" w:eastAsia="宋体" w:cs="宋体"/>
          <w:sz w:val="24"/>
        </w:rPr>
      </w:pPr>
      <w:r>
        <w:rPr>
          <w:rFonts w:hint="eastAsia" w:ascii="宋体" w:eastAsia="宋体" w:cs="宋体"/>
          <w:sz w:val="24"/>
        </w:rPr>
        <w:t>授权代表签字：</w:t>
      </w:r>
    </w:p>
    <w:p>
      <w:pPr>
        <w:pStyle w:val="8"/>
        <w:ind w:firstLine="480" w:firstLineChars="200"/>
        <w:rPr>
          <w:rFonts w:ascii="宋体" w:eastAsia="宋体" w:cs="宋体"/>
          <w:sz w:val="24"/>
        </w:rPr>
      </w:pPr>
      <w:r>
        <w:rPr>
          <w:rFonts w:hint="eastAsia" w:ascii="宋体" w:eastAsia="宋体" w:cs="宋体"/>
          <w:sz w:val="24"/>
        </w:rPr>
        <w:t>日期：</w:t>
      </w:r>
    </w:p>
    <w:p>
      <w:pPr>
        <w:rPr>
          <w:rFonts w:ascii="宋体" w:cs="宋体"/>
        </w:rPr>
      </w:pPr>
    </w:p>
    <w:p>
      <w:pPr>
        <w:rPr>
          <w:rFonts w:ascii="宋体" w:cs="宋体"/>
        </w:rPr>
      </w:pPr>
    </w:p>
    <w:p>
      <w:pPr>
        <w:rPr>
          <w:rFonts w:ascii="宋体" w:cs="宋体"/>
          <w:b/>
          <w:bCs/>
        </w:rPr>
      </w:pPr>
    </w:p>
    <w:p>
      <w:pPr>
        <w:widowControl/>
        <w:spacing w:line="360" w:lineRule="atLeast"/>
        <w:jc w:val="center"/>
        <w:outlineLvl w:val="1"/>
        <w:rPr>
          <w:rFonts w:ascii="宋体" w:cs="宋体"/>
          <w:b/>
          <w:bCs/>
          <w:sz w:val="32"/>
          <w:szCs w:val="32"/>
        </w:rPr>
      </w:pPr>
    </w:p>
    <w:p>
      <w:pPr>
        <w:widowControl/>
        <w:spacing w:line="360" w:lineRule="atLeast"/>
        <w:jc w:val="center"/>
        <w:outlineLvl w:val="1"/>
        <w:rPr>
          <w:rFonts w:ascii="宋体" w:cs="宋体"/>
          <w:b/>
          <w:bCs/>
          <w:sz w:val="32"/>
          <w:szCs w:val="32"/>
        </w:rPr>
      </w:pPr>
    </w:p>
    <w:p>
      <w:pPr>
        <w:widowControl/>
        <w:spacing w:line="360" w:lineRule="atLeast"/>
        <w:jc w:val="center"/>
        <w:outlineLvl w:val="1"/>
        <w:rPr>
          <w:rStyle w:val="19"/>
          <w:rFonts w:ascii="宋体" w:cs="宋体"/>
          <w:bCs/>
          <w:sz w:val="36"/>
          <w:szCs w:val="36"/>
        </w:rPr>
      </w:pPr>
      <w:r>
        <w:rPr>
          <w:rFonts w:hint="eastAsia" w:ascii="宋体" w:cs="宋体"/>
          <w:b/>
          <w:bCs/>
          <w:sz w:val="32"/>
          <w:szCs w:val="32"/>
        </w:rPr>
        <w:t>（三）</w:t>
      </w:r>
      <w:r>
        <w:rPr>
          <w:rStyle w:val="19"/>
          <w:rFonts w:hint="eastAsia" w:ascii="宋体" w:cs="宋体"/>
          <w:bCs/>
          <w:sz w:val="36"/>
          <w:szCs w:val="36"/>
        </w:rPr>
        <w:t>单位授权书</w:t>
      </w:r>
    </w:p>
    <w:p>
      <w:pPr>
        <w:pStyle w:val="8"/>
        <w:spacing w:line="360" w:lineRule="auto"/>
        <w:rPr>
          <w:rFonts w:ascii="宋体" w:eastAsia="宋体" w:cs="宋体"/>
          <w:sz w:val="24"/>
        </w:rPr>
      </w:pPr>
      <w:r>
        <w:rPr>
          <w:rFonts w:hint="eastAsia" w:ascii="宋体" w:eastAsia="宋体" w:cs="宋体"/>
          <w:sz w:val="24"/>
        </w:rPr>
        <w:t>（招标人）：</w:t>
      </w:r>
    </w:p>
    <w:p>
      <w:pPr>
        <w:pStyle w:val="8"/>
        <w:spacing w:line="360" w:lineRule="auto"/>
        <w:ind w:left="420" w:leftChars="200"/>
        <w:rPr>
          <w:rFonts w:ascii="宋体" w:eastAsia="宋体" w:cs="宋体"/>
          <w:sz w:val="24"/>
        </w:rPr>
      </w:pPr>
      <w:r>
        <w:rPr>
          <w:rFonts w:hint="eastAsia" w:ascii="宋体" w:eastAsia="宋体" w:cs="宋体"/>
          <w:sz w:val="24"/>
        </w:rPr>
        <w:t>本授权声明：（投标人名称）（单位主要负责人姓名、职务）授权（被授权人姓名、职务）为我方 “” 项目（招标编号：）投标活动的合法代表，以我方名义全权处理该项目有关投标、签订合同以及执行合同等一切事宜。</w:t>
      </w:r>
    </w:p>
    <w:p>
      <w:pPr>
        <w:pStyle w:val="8"/>
        <w:spacing w:line="360" w:lineRule="auto"/>
        <w:rPr>
          <w:rFonts w:ascii="宋体" w:eastAsia="宋体" w:cs="宋体"/>
          <w:sz w:val="24"/>
        </w:rPr>
      </w:pPr>
      <w:r>
        <w:rPr>
          <w:rFonts w:hint="eastAsia" w:ascii="宋体" w:eastAsia="宋体" w:cs="宋体"/>
          <w:sz w:val="24"/>
        </w:rPr>
        <w:t>特此声明。</w:t>
      </w:r>
    </w:p>
    <w:p>
      <w:pPr>
        <w:pStyle w:val="8"/>
        <w:rPr>
          <w:rFonts w:ascii="宋体" w:eastAsia="宋体" w:cs="宋体"/>
          <w:sz w:val="24"/>
        </w:rPr>
      </w:pPr>
    </w:p>
    <w:p>
      <w:pPr>
        <w:pStyle w:val="8"/>
        <w:rPr>
          <w:rFonts w:ascii="宋体" w:eastAsia="宋体" w:cs="宋体"/>
          <w:sz w:val="24"/>
        </w:rPr>
      </w:pPr>
    </w:p>
    <w:p>
      <w:pPr>
        <w:pStyle w:val="8"/>
        <w:rPr>
          <w:rFonts w:ascii="宋体" w:eastAsia="宋体" w:cs="宋体"/>
          <w:sz w:val="24"/>
        </w:rPr>
      </w:pPr>
    </w:p>
    <w:p>
      <w:pPr>
        <w:pStyle w:val="8"/>
        <w:ind w:firstLine="480" w:firstLineChars="200"/>
        <w:rPr>
          <w:rFonts w:ascii="宋体" w:eastAsia="宋体" w:cs="宋体"/>
          <w:sz w:val="24"/>
        </w:rPr>
      </w:pPr>
      <w:r>
        <w:rPr>
          <w:rFonts w:hint="eastAsia" w:ascii="宋体" w:eastAsia="宋体" w:cs="宋体"/>
          <w:sz w:val="24"/>
        </w:rPr>
        <w:t>投标人名称：（盖章）</w:t>
      </w:r>
    </w:p>
    <w:p>
      <w:pPr>
        <w:pStyle w:val="8"/>
        <w:ind w:firstLine="480" w:firstLineChars="200"/>
        <w:rPr>
          <w:rFonts w:ascii="宋体" w:eastAsia="宋体" w:cs="宋体"/>
          <w:sz w:val="24"/>
        </w:rPr>
      </w:pPr>
      <w:r>
        <w:rPr>
          <w:rFonts w:hint="eastAsia" w:ascii="宋体" w:eastAsia="宋体" w:cs="宋体"/>
          <w:sz w:val="24"/>
        </w:rPr>
        <w:t>授权代表签字：</w:t>
      </w:r>
    </w:p>
    <w:p>
      <w:pPr>
        <w:pStyle w:val="8"/>
        <w:ind w:firstLine="480" w:firstLineChars="200"/>
        <w:rPr>
          <w:rFonts w:ascii="宋体" w:eastAsia="宋体" w:cs="宋体"/>
          <w:sz w:val="24"/>
        </w:rPr>
      </w:pPr>
      <w:r>
        <w:rPr>
          <w:rFonts w:hint="eastAsia" w:ascii="宋体" w:eastAsia="宋体" w:cs="宋体"/>
          <w:sz w:val="24"/>
        </w:rPr>
        <w:t>日期：</w:t>
      </w:r>
    </w:p>
    <w:p>
      <w:pPr>
        <w:rPr>
          <w:rFonts w:ascii="宋体" w:cs="宋体"/>
          <w:bCs/>
          <w:u w:val="single"/>
        </w:rPr>
      </w:pPr>
    </w:p>
    <w:p>
      <w:pPr>
        <w:rPr>
          <w:rFonts w:ascii="宋体" w:cs="宋体"/>
          <w:bCs/>
          <w:u w:val="single"/>
        </w:rPr>
      </w:pPr>
    </w:p>
    <w:p>
      <w:pPr>
        <w:rPr>
          <w:rFonts w:ascii="宋体" w:cs="宋体"/>
          <w:bCs/>
          <w:u w:val="single"/>
        </w:rPr>
      </w:pPr>
    </w:p>
    <w:p>
      <w:pPr>
        <w:rPr>
          <w:rFonts w:ascii="宋体" w:cs="宋体"/>
          <w:bCs/>
          <w:u w:val="single"/>
        </w:rPr>
      </w:pPr>
    </w:p>
    <w:p>
      <w:pPr>
        <w:rPr>
          <w:rFonts w:ascii="宋体" w:cs="宋体"/>
          <w:bCs/>
          <w:u w:val="single"/>
        </w:rPr>
      </w:pPr>
    </w:p>
    <w:p>
      <w:pPr>
        <w:rPr>
          <w:rFonts w:ascii="宋体" w:cs="宋体"/>
          <w:bCs/>
          <w:u w:val="single"/>
        </w:rPr>
      </w:pPr>
    </w:p>
    <w:p>
      <w:pPr>
        <w:rPr>
          <w:rFonts w:ascii="宋体" w:cs="宋体"/>
          <w:bCs/>
          <w:u w:val="single"/>
        </w:rPr>
      </w:pPr>
    </w:p>
    <w:p>
      <w:pPr>
        <w:pStyle w:val="2"/>
      </w:pPr>
    </w:p>
    <w:p>
      <w:pPr>
        <w:rPr>
          <w:rFonts w:ascii="宋体" w:cs="宋体"/>
          <w:bCs/>
          <w:u w:val="single"/>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widowControl/>
        <w:spacing w:line="360" w:lineRule="atLeast"/>
        <w:jc w:val="center"/>
        <w:outlineLvl w:val="1"/>
        <w:rPr>
          <w:rFonts w:ascii="宋体" w:cs="宋体"/>
          <w:b/>
          <w:sz w:val="32"/>
          <w:szCs w:val="32"/>
        </w:rPr>
      </w:pPr>
      <w:r>
        <w:rPr>
          <w:rFonts w:ascii="宋体" w:cs="宋体"/>
          <w:b/>
          <w:sz w:val="32"/>
          <w:szCs w:val="32"/>
        </w:rPr>
        <w:t>（四）</w:t>
      </w:r>
      <w:r>
        <w:rPr>
          <w:rFonts w:hint="eastAsia" w:ascii="宋体" w:cs="宋体"/>
          <w:b/>
          <w:sz w:val="32"/>
          <w:szCs w:val="32"/>
        </w:rPr>
        <w:t>代理方案</w:t>
      </w:r>
    </w:p>
    <w:p>
      <w:pPr>
        <w:spacing w:line="440" w:lineRule="exact"/>
        <w:rPr>
          <w:rFonts w:ascii="宋体" w:cs="宋体"/>
          <w:sz w:val="24"/>
        </w:rPr>
      </w:pPr>
      <w:r>
        <w:rPr>
          <w:rFonts w:hint="eastAsia" w:ascii="宋体" w:cs="宋体"/>
          <w:sz w:val="24"/>
        </w:rPr>
        <w:t>（详细分析诉讼标的金额的计算方式、诉讼请求的合理性及得到法院支持的可能性、诉讼风险等。正式提交投标文件时将该条删除）</w:t>
      </w:r>
    </w:p>
    <w:p>
      <w:pPr>
        <w:pStyle w:val="3"/>
        <w:rPr>
          <w:rFonts w:ascii="宋体" w:eastAsia="宋体" w:cs="宋体"/>
          <w:sz w:val="24"/>
          <w:szCs w:val="24"/>
        </w:rPr>
      </w:pPr>
    </w:p>
    <w:p>
      <w:pPr>
        <w:spacing w:line="560" w:lineRule="exact"/>
        <w:rPr>
          <w:rFonts w:ascii="宋体" w:cs="宋体"/>
          <w:b/>
          <w:sz w:val="24"/>
        </w:rPr>
        <w:sectPr>
          <w:headerReference r:id="rId3" w:type="default"/>
          <w:footerReference r:id="rId4" w:type="default"/>
          <w:pgSz w:w="11906" w:h="16838"/>
          <w:pgMar w:top="1440" w:right="1080" w:bottom="1440" w:left="1080" w:header="851" w:footer="992" w:gutter="0"/>
          <w:pgNumType w:chapStyle="1"/>
          <w:cols w:space="720" w:num="1"/>
          <w:docGrid w:type="lines" w:linePitch="312" w:charSpace="0"/>
        </w:sectPr>
      </w:pPr>
    </w:p>
    <w:p>
      <w:pPr>
        <w:widowControl/>
        <w:spacing w:line="360" w:lineRule="atLeast"/>
        <w:jc w:val="center"/>
        <w:outlineLvl w:val="1"/>
        <w:rPr>
          <w:rFonts w:ascii="宋体" w:cs="宋体"/>
        </w:rPr>
      </w:pPr>
      <w:r>
        <w:rPr>
          <w:rFonts w:hint="eastAsia" w:ascii="宋体" w:cs="宋体"/>
          <w:b/>
          <w:sz w:val="32"/>
          <w:szCs w:val="32"/>
        </w:rPr>
        <w:t>（</w:t>
      </w:r>
      <w:r>
        <w:rPr>
          <w:rFonts w:ascii="宋体" w:cs="宋体"/>
          <w:b/>
          <w:sz w:val="32"/>
          <w:szCs w:val="32"/>
        </w:rPr>
        <w:t>五</w:t>
      </w:r>
      <w:r>
        <w:rPr>
          <w:rFonts w:hint="eastAsia" w:ascii="宋体" w:cs="宋体"/>
          <w:b/>
          <w:sz w:val="32"/>
          <w:szCs w:val="32"/>
        </w:rPr>
        <w:t>）附件</w:t>
      </w:r>
    </w:p>
    <w:p>
      <w:pPr>
        <w:spacing w:line="540" w:lineRule="exact"/>
        <w:ind w:firstLine="480" w:firstLineChars="200"/>
        <w:rPr>
          <w:rFonts w:ascii="宋体" w:cs="宋体"/>
          <w:b/>
          <w:sz w:val="24"/>
        </w:rPr>
      </w:pPr>
      <w:r>
        <w:rPr>
          <w:rFonts w:hint="eastAsia" w:ascii="宋体" w:cs="宋体"/>
          <w:sz w:val="24"/>
        </w:rPr>
        <w:t>1、</w:t>
      </w:r>
      <w:r>
        <w:rPr>
          <w:rFonts w:hint="eastAsia" w:ascii="宋体" w:cs="宋体"/>
          <w:b/>
          <w:sz w:val="24"/>
        </w:rPr>
        <w:t>律师事务所规模、资质、专长及信誉等情况</w:t>
      </w:r>
    </w:p>
    <w:p>
      <w:pPr>
        <w:spacing w:line="540" w:lineRule="exact"/>
        <w:ind w:firstLine="482" w:firstLineChars="200"/>
        <w:rPr>
          <w:rFonts w:ascii="宋体" w:cs="宋体"/>
          <w:b/>
          <w:sz w:val="24"/>
        </w:rPr>
      </w:pPr>
      <w:r>
        <w:rPr>
          <w:rFonts w:hint="eastAsia" w:ascii="宋体" w:cs="宋体"/>
          <w:b/>
          <w:sz w:val="24"/>
        </w:rPr>
        <w:t>2、律所服务团队成员构成、执业证书、专业水平、从业经验及业绩等情况</w:t>
      </w:r>
    </w:p>
    <w:p>
      <w:pPr>
        <w:spacing w:line="540" w:lineRule="exact"/>
        <w:ind w:firstLine="482" w:firstLineChars="200"/>
        <w:rPr>
          <w:rFonts w:ascii="宋体" w:cs="宋体"/>
          <w:b/>
          <w:sz w:val="24"/>
        </w:rPr>
      </w:pPr>
      <w:r>
        <w:rPr>
          <w:rFonts w:hint="eastAsia" w:ascii="宋体" w:cs="宋体"/>
          <w:b/>
          <w:sz w:val="24"/>
        </w:rPr>
        <w:t>3、其他与评标有关的文件</w:t>
      </w:r>
    </w:p>
    <w:p>
      <w:pPr>
        <w:pStyle w:val="3"/>
        <w:ind w:firstLine="420" w:firstLineChars="200"/>
        <w:rPr>
          <w:rFonts w:ascii="宋体" w:eastAsia="宋体" w:cs="宋体"/>
        </w:rPr>
      </w:pPr>
    </w:p>
    <w:p>
      <w:pPr>
        <w:pStyle w:val="3"/>
        <w:ind w:firstLine="420" w:firstLineChars="200"/>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sz w:val="36"/>
          <w:szCs w:val="36"/>
        </w:rPr>
      </w:pPr>
    </w:p>
    <w:p>
      <w:pPr>
        <w:widowControl/>
        <w:jc w:val="left"/>
        <w:rPr>
          <w:rFonts w:ascii="宋体" w:cs="宋体"/>
          <w:b/>
          <w:bCs/>
          <w:kern w:val="0"/>
          <w:sz w:val="36"/>
          <w:szCs w:val="36"/>
        </w:rPr>
      </w:pPr>
      <w:r>
        <w:rPr>
          <w:rFonts w:ascii="宋体" w:cs="宋体"/>
          <w:b/>
          <w:sz w:val="36"/>
          <w:szCs w:val="36"/>
        </w:rPr>
        <w:t>注：本着节约社会资源的原则，请各</w:t>
      </w:r>
      <w:r>
        <w:rPr>
          <w:rFonts w:hint="eastAsia" w:ascii="宋体" w:cs="宋体"/>
          <w:b/>
          <w:sz w:val="36"/>
          <w:szCs w:val="36"/>
        </w:rPr>
        <w:t>有意</w:t>
      </w:r>
      <w:r>
        <w:rPr>
          <w:rFonts w:ascii="宋体" w:cs="宋体"/>
          <w:b/>
          <w:sz w:val="36"/>
          <w:szCs w:val="36"/>
        </w:rPr>
        <w:t>参与本次投标的中介机构节约纸张，无需大篇幅添加附件。可按照《</w:t>
      </w:r>
      <w:r>
        <w:rPr>
          <w:rFonts w:hint="eastAsia" w:ascii="宋体" w:cs="宋体"/>
          <w:b/>
          <w:bCs/>
          <w:kern w:val="0"/>
          <w:sz w:val="36"/>
          <w:szCs w:val="36"/>
        </w:rPr>
        <w:t>专项法律服务评分标准打分表</w:t>
      </w:r>
      <w:r>
        <w:rPr>
          <w:rFonts w:ascii="宋体" w:cs="宋体"/>
          <w:b/>
          <w:sz w:val="36"/>
          <w:szCs w:val="36"/>
        </w:rPr>
        <w:t>》的评分标准提供足以证明中介机构规模、荣誉、业绩、承办律师资历等的附件。例：判决书内容较长，仅需展示代理律师、诉讼金额、判决金额的页面。</w:t>
      </w:r>
    </w:p>
    <w:p>
      <w:pPr>
        <w:spacing w:line="540" w:lineRule="exact"/>
        <w:ind w:firstLine="723" w:firstLineChars="200"/>
        <w:jc w:val="left"/>
        <w:rPr>
          <w:rFonts w:ascii="宋体" w:cs="宋体"/>
          <w:b/>
          <w:sz w:val="36"/>
          <w:szCs w:val="36"/>
        </w:rPr>
      </w:pPr>
    </w:p>
    <w:p>
      <w:pPr>
        <w:spacing w:line="540" w:lineRule="exact"/>
        <w:ind w:firstLine="482" w:firstLineChars="200"/>
        <w:jc w:val="left"/>
        <w:rPr>
          <w:rFonts w:ascii="宋体" w:cs="宋体"/>
          <w:b/>
          <w:sz w:val="24"/>
        </w:rPr>
      </w:pPr>
      <w:bookmarkStart w:id="98" w:name="_GoBack"/>
      <w:bookmarkEnd w:id="98"/>
    </w:p>
    <w:p>
      <w:pPr>
        <w:spacing w:line="540" w:lineRule="exact"/>
        <w:ind w:firstLine="482" w:firstLineChars="200"/>
        <w:jc w:val="left"/>
        <w:rPr>
          <w:rFonts w:ascii="宋体" w:cs="宋体"/>
          <w:b/>
          <w:sz w:val="24"/>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pStyle w:val="3"/>
        <w:rPr>
          <w:rFonts w:ascii="宋体" w:eastAsia="宋体" w:cs="宋体"/>
        </w:rPr>
      </w:pPr>
    </w:p>
    <w:p>
      <w:pPr>
        <w:spacing w:line="560" w:lineRule="exact"/>
        <w:ind w:firstLine="200"/>
        <w:jc w:val="center"/>
        <w:rPr>
          <w:rFonts w:ascii="宋体" w:cs="宋体"/>
          <w:b/>
          <w:sz w:val="24"/>
        </w:rPr>
      </w:pPr>
      <w:r>
        <w:rPr>
          <w:rFonts w:hint="eastAsia" w:ascii="宋体" w:cs="宋体"/>
          <w:b/>
          <w:sz w:val="24"/>
        </w:rPr>
        <w:t>九、档案查询及意见反馈</w:t>
      </w:r>
    </w:p>
    <w:p>
      <w:pPr>
        <w:spacing w:line="560" w:lineRule="exact"/>
        <w:ind w:firstLine="200"/>
        <w:jc w:val="left"/>
        <w:rPr>
          <w:rFonts w:ascii="宋体" w:cs="宋体"/>
          <w:sz w:val="24"/>
        </w:rPr>
      </w:pPr>
      <w:r>
        <w:rPr>
          <w:rFonts w:hint="eastAsia" w:ascii="宋体" w:cs="宋体"/>
          <w:sz w:val="24"/>
        </w:rPr>
        <w:t>8.1中标结果出来后，所有投标单位可对整个招投标过程资料档案进行现场查阅，但不得复制或拍照、摄像。</w:t>
      </w:r>
    </w:p>
    <w:p>
      <w:pPr>
        <w:spacing w:line="560" w:lineRule="exact"/>
        <w:ind w:firstLine="200"/>
        <w:jc w:val="left"/>
        <w:rPr>
          <w:rFonts w:ascii="宋体" w:cs="宋体"/>
          <w:sz w:val="24"/>
        </w:rPr>
      </w:pPr>
      <w:r>
        <w:rPr>
          <w:rFonts w:hint="eastAsia" w:ascii="宋体" w:cs="宋体"/>
          <w:sz w:val="24"/>
        </w:rPr>
        <w:t>8.2投标单位对招投标过程有意见或建议的可在中标结果出来后向招标人书面反馈，书面意见提交至招标公告联系人处。</w:t>
      </w:r>
    </w:p>
    <w:p>
      <w:pPr>
        <w:spacing w:line="560" w:lineRule="exact"/>
        <w:ind w:firstLine="200"/>
        <w:jc w:val="left"/>
        <w:rPr>
          <w:rFonts w:ascii="宋体" w:cs="宋体"/>
          <w:sz w:val="24"/>
        </w:rPr>
      </w:pPr>
      <w:r>
        <w:rPr>
          <w:rFonts w:hint="eastAsia" w:ascii="宋体" w:cs="宋体"/>
          <w:sz w:val="24"/>
        </w:rPr>
        <w:t>8.3投诉电话：四川省第六建筑有限公司纪检监察部028-83332246。</w:t>
      </w:r>
    </w:p>
    <w:p>
      <w:pPr>
        <w:spacing w:line="560" w:lineRule="exact"/>
        <w:jc w:val="left"/>
        <w:rPr>
          <w:rFonts w:ascii="宋体" w:cs="宋体"/>
          <w:sz w:val="24"/>
        </w:rPr>
      </w:pPr>
    </w:p>
    <w:p>
      <w:pPr>
        <w:jc w:val="center"/>
        <w:rPr>
          <w:rFonts w:ascii="宋体" w:cs="宋体"/>
          <w:sz w:val="24"/>
        </w:rPr>
      </w:pPr>
      <w:r>
        <w:rPr>
          <w:rFonts w:hint="eastAsia" w:ascii="宋体" w:cs="宋体"/>
          <w:sz w:val="24"/>
        </w:rPr>
        <w:t xml:space="preserve">                                                 四川省第六建筑有限公司</w:t>
      </w:r>
    </w:p>
    <w:p>
      <w:pPr>
        <w:jc w:val="center"/>
        <w:rPr>
          <w:rFonts w:ascii="宋体" w:cs="宋体"/>
          <w:b/>
          <w:sz w:val="24"/>
        </w:rPr>
      </w:pPr>
      <w:r>
        <w:rPr>
          <w:rFonts w:hint="eastAsia" w:ascii="宋体" w:cs="宋体"/>
          <w:sz w:val="24"/>
        </w:rPr>
        <w:t xml:space="preserve">                                                 运营管理部</w:t>
      </w:r>
    </w:p>
    <w:p>
      <w:pPr>
        <w:jc w:val="center"/>
        <w:rPr>
          <w:rFonts w:ascii="宋体" w:cs="宋体"/>
          <w:sz w:val="24"/>
        </w:rPr>
      </w:pPr>
      <w:r>
        <w:rPr>
          <w:rFonts w:hint="eastAsia" w:ascii="宋体" w:cs="宋体"/>
          <w:sz w:val="24"/>
        </w:rPr>
        <w:t xml:space="preserve">                                                  202</w:t>
      </w:r>
      <w:r>
        <w:rPr>
          <w:rFonts w:ascii="宋体" w:cs="宋体"/>
          <w:sz w:val="24"/>
        </w:rPr>
        <w:t>3</w:t>
      </w:r>
      <w:r>
        <w:rPr>
          <w:rFonts w:hint="eastAsia" w:ascii="宋体" w:cs="宋体"/>
          <w:sz w:val="24"/>
        </w:rPr>
        <w:t>年3月</w:t>
      </w:r>
      <w:r>
        <w:rPr>
          <w:rFonts w:ascii="宋体" w:cs="宋体"/>
          <w:sz w:val="24"/>
        </w:rPr>
        <w:t>8</w:t>
      </w:r>
      <w:r>
        <w:rPr>
          <w:rFonts w:hint="eastAsia" w:ascii="宋体" w:cs="宋体"/>
          <w:sz w:val="24"/>
        </w:rPr>
        <w:t>日</w:t>
      </w:r>
    </w:p>
    <w:p>
      <w:pPr>
        <w:jc w:val="center"/>
        <w:rPr>
          <w:rFonts w:ascii="宋体" w:cs="宋体"/>
        </w:rPr>
      </w:pPr>
    </w:p>
    <w:p>
      <w:pPr>
        <w:pStyle w:val="2"/>
        <w:rPr>
          <w:rFonts w:ascii="宋体" w:cs="宋体"/>
        </w:rPr>
      </w:pPr>
    </w:p>
    <w:sectPr>
      <w:headerReference r:id="rId5" w:type="default"/>
      <w:footerReference r:id="rId6" w:type="default"/>
      <w:pgSz w:w="11906" w:h="16838"/>
      <w:pgMar w:top="1440" w:right="1080" w:bottom="1440" w:left="1080"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rect id="_x0000_s1028" o:spid="_x0000_s1028" o:spt="1" style="position:absolute;left:0pt;margin-top:0pt;height:11.65pt;width:72pt;mso-position-horizontal:center;mso-position-horizontal-relative:margin;mso-wrap-style:none;z-index:251662336;mso-width-relative:page;mso-height-relative:page;" filled="f" stroked="f" coordsize="21600,21600" o:gfxdata="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TMF9IAAAAEAQAADwAAAAAAAAABACAAAAAiAAAAZHJzL2Rvd25y&#10;ZXYueG1sUEsBAhQAFAAAAAgAh07iQDpP/VsEAgAA9AMAAA4AAAAAAAAAAQAgAAAAIQEAAGRycy9l&#10;Mm9Eb2MueG1sUEsFBgAAAAAGAAYAWQEAAJcFAAAAAA==&#10;">
          <v:path/>
          <v:fill on="f" focussize="0,0"/>
          <v:stroke on="f" joinstyle="round"/>
          <v:imagedata o:title=""/>
          <o:lock v:ext="edit"/>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21</w:t>
                </w:r>
                <w:r>
                  <w:fldChar w:fldCharType="end"/>
                </w:r>
                <w:r>
                  <w:rPr>
                    <w:rFonts w:hint="eastAsia"/>
                  </w:rPr>
                  <w:t xml:space="preserve"> 页</w:t>
                </w:r>
              </w:p>
            </w:txbxContent>
          </v:textbox>
        </v:rect>
      </w:pic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rect id="文本框 3" o:spid="_x0000_s1026" o:spt="1" style="position:absolute;left:0pt;margin-top:0pt;height:11.65pt;width:72pt;mso-position-horizontal:center;mso-position-horizontal-relative:margin;mso-wrap-style:none;z-index:251660288;mso-width-relative:page;mso-height-relative:page;" filled="f" stroked="f" coordsize="21600,21600" o:gfxdata="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TMF9IAAAAEAQAADwAAAAAAAAABACAAAAAiAAAAZHJzL2Rvd25y&#10;ZXYueG1sUEsBAhQAFAAAAAgAh07iQDpP/VsEAgAA9AMAAA4AAAAAAAAAAQAgAAAAIQEAAGRycy9l&#10;Mm9Eb2MueG1sUEsFBgAAAAAGAAYAWQEAAJcFAAAAAA==&#10;">
          <v:path/>
          <v:fill on="f" focussize="0,0"/>
          <v:stroke on="f" joinstyle="round"/>
          <v:imagedata o:title=""/>
          <o:lock v:ext="edit"/>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21</w:t>
                </w:r>
                <w:r>
                  <w:fldChar w:fldCharType="end"/>
                </w:r>
                <w:r>
                  <w:rPr>
                    <w:rFonts w:hint="eastAsia"/>
                  </w:rPr>
                  <w:t xml:space="preserve"> 页</w:t>
                </w:r>
              </w:p>
            </w:txbxContent>
          </v:textbox>
        </v:rect>
      </w:pic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2"/>
        <w:szCs w:val="15"/>
      </w:rPr>
    </w:pPr>
    <w:r>
      <w:rPr>
        <w:rFonts w:hint="eastAsia"/>
      </w:rPr>
      <w:drawing>
        <wp:anchor distT="0" distB="0" distL="114300" distR="114300" simplePos="0" relativeHeight="251661312" behindDoc="0" locked="0" layoutInCell="1" allowOverlap="1">
          <wp:simplePos x="0" y="0"/>
          <wp:positionH relativeFrom="column">
            <wp:posOffset>7265035</wp:posOffset>
          </wp:positionH>
          <wp:positionV relativeFrom="paragraph">
            <wp:posOffset>57150</wp:posOffset>
          </wp:positionV>
          <wp:extent cx="186055" cy="291465"/>
          <wp:effectExtent l="0" t="0" r="0" b="0"/>
          <wp:wrapNone/>
          <wp:docPr id="2" name="图片 1" descr="4389848881611816184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389848881611816184751"/>
                  <pic:cNvPicPr>
                    <a:picLocks noChangeAspect="1"/>
                  </pic:cNvPicPr>
                </pic:nvPicPr>
                <pic:blipFill>
                  <a:blip r:embed="rId1">
                    <a:lum bright="-2002"/>
                  </a:blip>
                  <a:stretch>
                    <a:fillRect/>
                  </a:stretch>
                </pic:blipFill>
                <pic:spPr>
                  <a:xfrm>
                    <a:off x="0" y="0"/>
                    <a:ext cx="186055" cy="291465"/>
                  </a:xfrm>
                  <a:prstGeom prst="rect">
                    <a:avLst/>
                  </a:prstGeom>
                  <a:noFill/>
                  <a:ln w="9525" cap="flat" cmpd="sng">
                    <a:noFill/>
                    <a:prstDash val="solid"/>
                    <a:round/>
                  </a:ln>
                </pic:spPr>
              </pic:pic>
            </a:graphicData>
          </a:graphic>
        </wp:anchor>
      </w:drawing>
    </w:r>
    <w:r>
      <w:t>四川省第六建筑有限公司</w:t>
    </w:r>
    <w:r>
      <w:rPr>
        <w:rFonts w:hint="eastAsia"/>
        <w:sz w:val="22"/>
        <w:szCs w:val="15"/>
      </w:rPr>
      <w:t>编号：</w:t>
    </w:r>
    <w:r>
      <w:rPr>
        <w:sz w:val="22"/>
        <w:szCs w:val="15"/>
      </w:rPr>
      <w:t>省六建（2023）法</w:t>
    </w:r>
    <w:r>
      <w:rPr>
        <w:rFonts w:hint="eastAsia"/>
        <w:sz w:val="22"/>
        <w:szCs w:val="15"/>
      </w:rPr>
      <w:t>公招1</w:t>
    </w:r>
    <w:r>
      <w:rPr>
        <w:sz w:val="22"/>
        <w:szCs w:val="15"/>
      </w:rPr>
      <w:t>号</w:t>
    </w:r>
  </w:p>
  <w:p>
    <w:pPr>
      <w:pStyle w:val="12"/>
      <w:jc w:val="both"/>
    </w:pPr>
    <w:r>
      <w:rPr>
        <w:rFonts w:hint="eastAsia"/>
      </w:rPr>
      <w:t>____________________________________________________________________________________________________________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2"/>
        <w:szCs w:val="15"/>
      </w:rPr>
    </w:pPr>
    <w:r>
      <w:rPr>
        <w:rFonts w:hint="eastAsia"/>
      </w:rPr>
      <w:drawing>
        <wp:anchor distT="0" distB="0" distL="114300" distR="114300" simplePos="0" relativeHeight="251659264" behindDoc="0" locked="0" layoutInCell="1" allowOverlap="1">
          <wp:simplePos x="0" y="0"/>
          <wp:positionH relativeFrom="column">
            <wp:posOffset>7265035</wp:posOffset>
          </wp:positionH>
          <wp:positionV relativeFrom="paragraph">
            <wp:posOffset>57150</wp:posOffset>
          </wp:positionV>
          <wp:extent cx="186055" cy="291465"/>
          <wp:effectExtent l="0" t="0" r="0" b="0"/>
          <wp:wrapNone/>
          <wp:docPr id="1" name="图片 1" descr="4389848881611816184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89848881611816184751"/>
                  <pic:cNvPicPr>
                    <a:picLocks noChangeAspect="1"/>
                  </pic:cNvPicPr>
                </pic:nvPicPr>
                <pic:blipFill>
                  <a:blip r:embed="rId1">
                    <a:lum bright="-2002"/>
                  </a:blip>
                  <a:stretch>
                    <a:fillRect/>
                  </a:stretch>
                </pic:blipFill>
                <pic:spPr>
                  <a:xfrm>
                    <a:off x="0" y="0"/>
                    <a:ext cx="186055" cy="291465"/>
                  </a:xfrm>
                  <a:prstGeom prst="rect">
                    <a:avLst/>
                  </a:prstGeom>
                  <a:noFill/>
                  <a:ln w="9525" cap="flat" cmpd="sng">
                    <a:noFill/>
                    <a:prstDash val="solid"/>
                    <a:round/>
                  </a:ln>
                </pic:spPr>
              </pic:pic>
            </a:graphicData>
          </a:graphic>
        </wp:anchor>
      </w:drawing>
    </w:r>
    <w:r>
      <w:t>四川省第六建筑有限公司</w:t>
    </w:r>
    <w:r>
      <w:rPr>
        <w:rFonts w:hint="eastAsia"/>
        <w:sz w:val="22"/>
        <w:szCs w:val="15"/>
      </w:rPr>
      <w:t>编号：</w:t>
    </w:r>
    <w:r>
      <w:rPr>
        <w:sz w:val="22"/>
        <w:szCs w:val="15"/>
      </w:rPr>
      <w:t>省六建（202</w:t>
    </w:r>
    <w:r>
      <w:rPr>
        <w:rFonts w:hint="eastAsia"/>
        <w:sz w:val="22"/>
        <w:szCs w:val="15"/>
      </w:rPr>
      <w:t>2</w:t>
    </w:r>
    <w:r>
      <w:rPr>
        <w:sz w:val="22"/>
        <w:szCs w:val="15"/>
      </w:rPr>
      <w:t>）法中招</w:t>
    </w:r>
    <w:r>
      <w:rPr>
        <w:rFonts w:hint="eastAsia"/>
        <w:sz w:val="22"/>
        <w:szCs w:val="15"/>
      </w:rPr>
      <w:t xml:space="preserve"> 1</w:t>
    </w:r>
    <w:r>
      <w:rPr>
        <w:sz w:val="22"/>
        <w:szCs w:val="15"/>
      </w:rPr>
      <w:t>号</w:t>
    </w:r>
  </w:p>
  <w:p>
    <w:pPr>
      <w:pStyle w:val="12"/>
      <w:jc w:val="both"/>
    </w:pPr>
    <w:r>
      <w:rPr>
        <w:rFonts w:hint="eastAsia"/>
      </w:rPr>
      <w:t>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C4F08"/>
    <w:multiLevelType w:val="multilevel"/>
    <w:tmpl w:val="CBEC4F08"/>
    <w:lvl w:ilvl="0" w:tentative="0">
      <w:start w:val="2"/>
      <w:numFmt w:val="decimal"/>
      <w:pStyle w:val="4"/>
      <w:lvlText w:val="%1."/>
      <w:lvlJc w:val="left"/>
      <w:pPr>
        <w:tabs>
          <w:tab w:val="left" w:pos="0"/>
        </w:tabs>
        <w:ind w:left="432" w:hanging="432"/>
      </w:pPr>
      <w:rPr>
        <w:rFonts w:hint="default" w:ascii="宋体" w:hAnsi="宋体" w:eastAsia="宋体" w:cs="宋体"/>
      </w:rPr>
    </w:lvl>
    <w:lvl w:ilvl="1" w:tentative="0">
      <w:start w:val="1"/>
      <w:numFmt w:val="decimal"/>
      <w:pStyle w:val="5"/>
      <w:lvlText w:val="%1.%2."/>
      <w:lvlJc w:val="left"/>
      <w:pPr>
        <w:tabs>
          <w:tab w:val="left" w:pos="0"/>
        </w:tabs>
        <w:ind w:left="575" w:hanging="575"/>
      </w:pPr>
      <w:rPr>
        <w:rFonts w:hint="default"/>
      </w:rPr>
    </w:lvl>
    <w:lvl w:ilvl="2" w:tentative="0">
      <w:start w:val="1"/>
      <w:numFmt w:val="decimal"/>
      <w:pStyle w:val="6"/>
      <w:lvlText w:val="%1.%2.%3."/>
      <w:lvlJc w:val="left"/>
      <w:pPr>
        <w:tabs>
          <w:tab w:val="left" w:pos="0"/>
        </w:tabs>
        <w:ind w:left="720" w:hanging="720"/>
      </w:pPr>
      <w:rPr>
        <w:rFonts w:hint="default"/>
      </w:rPr>
    </w:lvl>
    <w:lvl w:ilvl="3" w:tentative="0">
      <w:start w:val="1"/>
      <w:numFmt w:val="decimal"/>
      <w:lvlText w:val="%1.%2.%3.%4."/>
      <w:lvlJc w:val="left"/>
      <w:pPr>
        <w:tabs>
          <w:tab w:val="left" w:pos="0"/>
        </w:tabs>
        <w:ind w:left="864" w:hanging="864"/>
      </w:pPr>
      <w:rPr>
        <w:rFonts w:hint="default"/>
      </w:rPr>
    </w:lvl>
    <w:lvl w:ilvl="4" w:tentative="0">
      <w:start w:val="1"/>
      <w:numFmt w:val="decimal"/>
      <w:lvlText w:val="%1.%2.%3.%4.%5."/>
      <w:lvlJc w:val="left"/>
      <w:pPr>
        <w:tabs>
          <w:tab w:val="left" w:pos="0"/>
        </w:tabs>
        <w:ind w:left="1008" w:hanging="1008"/>
      </w:pPr>
      <w:rPr>
        <w:rFonts w:hint="default"/>
      </w:rPr>
    </w:lvl>
    <w:lvl w:ilvl="5" w:tentative="0">
      <w:start w:val="1"/>
      <w:numFmt w:val="decimal"/>
      <w:lvlText w:val="%1.%2.%3.%4.%5.%6."/>
      <w:lvlJc w:val="left"/>
      <w:pPr>
        <w:tabs>
          <w:tab w:val="left" w:pos="0"/>
        </w:tabs>
        <w:ind w:left="1151" w:hanging="1151"/>
      </w:pPr>
      <w:rPr>
        <w:rFonts w:hint="default"/>
      </w:rPr>
    </w:lvl>
    <w:lvl w:ilvl="6" w:tentative="0">
      <w:start w:val="1"/>
      <w:numFmt w:val="decimal"/>
      <w:lvlText w:val="%1.%2.%3.%4.%5.%6.%7."/>
      <w:lvlJc w:val="left"/>
      <w:pPr>
        <w:tabs>
          <w:tab w:val="left" w:pos="0"/>
        </w:tabs>
        <w:ind w:left="1296" w:hanging="1296"/>
      </w:pPr>
      <w:rPr>
        <w:rFonts w:hint="default"/>
      </w:rPr>
    </w:lvl>
    <w:lvl w:ilvl="7" w:tentative="0">
      <w:start w:val="1"/>
      <w:numFmt w:val="decimal"/>
      <w:lvlText w:val="%1.%2.%3.%4.%5.%6.%7.%8."/>
      <w:lvlJc w:val="left"/>
      <w:pPr>
        <w:tabs>
          <w:tab w:val="left" w:pos="0"/>
        </w:tabs>
        <w:ind w:left="1440" w:hanging="1440"/>
      </w:pPr>
      <w:rPr>
        <w:rFonts w:hint="default"/>
      </w:rPr>
    </w:lvl>
    <w:lvl w:ilvl="8" w:tentative="0">
      <w:start w:val="1"/>
      <w:numFmt w:val="decimal"/>
      <w:lvlText w:val="%1.%2.%3.%4.%5.%6.%7.%8.%9."/>
      <w:lvlJc w:val="left"/>
      <w:pPr>
        <w:tabs>
          <w:tab w:val="left" w:pos="0"/>
        </w:tabs>
        <w:ind w:left="1583" w:hanging="1583"/>
      </w:pPr>
      <w:rPr>
        <w:rFonts w:hint="default"/>
      </w:rPr>
    </w:lvl>
  </w:abstractNum>
  <w:abstractNum w:abstractNumId="1">
    <w:nsid w:val="E1CD5144"/>
    <w:multiLevelType w:val="multilevel"/>
    <w:tmpl w:val="E1CD5144"/>
    <w:lvl w:ilvl="0" w:tentative="0">
      <w:start w:val="1"/>
      <w:numFmt w:val="chineseCountingThousand"/>
      <w:suff w:val="space"/>
      <w:lvlText w:val="%1. "/>
      <w:lvlJc w:val="left"/>
      <w:pPr>
        <w:tabs>
          <w:tab w:val="left" w:pos="0"/>
        </w:tabs>
        <w:ind w:left="907" w:hanging="907"/>
      </w:pPr>
      <w:rPr>
        <w:rFonts w:hint="eastAsia"/>
      </w:r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0"/>
        </w:tabs>
        <w:ind w:left="0" w:firstLine="0"/>
      </w:pPr>
      <w:rPr>
        <w:rFonts w:cs="Times New Roman"/>
      </w:rPr>
    </w:lvl>
    <w:lvl w:ilvl="3" w:tentative="0">
      <w:start w:val="0"/>
      <w:numFmt w:val="none"/>
      <w:lvlText w:val=""/>
      <w:lvlJc w:val="left"/>
      <w:pPr>
        <w:tabs>
          <w:tab w:val="left" w:pos="0"/>
        </w:tabs>
        <w:ind w:left="0" w:firstLine="0"/>
      </w:pPr>
      <w:rPr>
        <w:rFonts w:cs="Times New Roman"/>
      </w:rPr>
    </w:lvl>
    <w:lvl w:ilvl="4" w:tentative="0">
      <w:start w:val="0"/>
      <w:numFmt w:val="decimal"/>
      <w:pStyle w:val="2"/>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abstractNum w:abstractNumId="2">
    <w:nsid w:val="00000003"/>
    <w:multiLevelType w:val="singleLevel"/>
    <w:tmpl w:val="00000003"/>
    <w:lvl w:ilvl="0" w:tentative="0">
      <w:start w:val="2"/>
      <w:numFmt w:val="chineseCounting"/>
      <w:suff w:val="nothing"/>
      <w:lvlText w:val="（%1）"/>
      <w:lvlJc w:val="left"/>
      <w:pPr>
        <w:tabs>
          <w:tab w:val="left" w:pos="0"/>
        </w:tabs>
        <w:ind w:left="0" w:firstLine="0"/>
      </w:pPr>
      <w:rPr>
        <w:rFonts w:hint="eastAsia"/>
      </w:rPr>
    </w:lvl>
  </w:abstractNum>
  <w:abstractNum w:abstractNumId="3">
    <w:nsid w:val="00000004"/>
    <w:multiLevelType w:val="singleLevel"/>
    <w:tmpl w:val="00000004"/>
    <w:lvl w:ilvl="0" w:tentative="0">
      <w:start w:val="1"/>
      <w:numFmt w:val="decimal"/>
      <w:lvlText w:val="%1."/>
      <w:lvlJc w:val="left"/>
      <w:pPr>
        <w:tabs>
          <w:tab w:val="left" w:pos="0"/>
        </w:tabs>
        <w:ind w:left="425" w:hanging="425"/>
      </w:pPr>
      <w:rPr>
        <w:rFonts w:hint="default"/>
      </w:rPr>
    </w:lvl>
  </w:abstractNum>
  <w:abstractNum w:abstractNumId="4">
    <w:nsid w:val="00000005"/>
    <w:multiLevelType w:val="singleLevel"/>
    <w:tmpl w:val="00000005"/>
    <w:lvl w:ilvl="0" w:tentative="0">
      <w:start w:val="2"/>
      <w:numFmt w:val="chineseCounting"/>
      <w:suff w:val="nothing"/>
      <w:lvlText w:val="%1、"/>
      <w:lvlJc w:val="left"/>
      <w:pPr>
        <w:tabs>
          <w:tab w:val="left" w:pos="0"/>
        </w:tabs>
        <w:ind w:left="0" w:firstLine="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liMjMxN2E1ZDU2OTFiMWQxMTY1ODhkYWEyZWFkMDcifQ=="/>
  </w:docVars>
  <w:rsids>
    <w:rsidRoot w:val="00FC0020"/>
    <w:rsid w:val="000376D7"/>
    <w:rsid w:val="000451ED"/>
    <w:rsid w:val="000666AF"/>
    <w:rsid w:val="000B7301"/>
    <w:rsid w:val="000F1A94"/>
    <w:rsid w:val="00135135"/>
    <w:rsid w:val="00155AD8"/>
    <w:rsid w:val="001745E6"/>
    <w:rsid w:val="00187FE0"/>
    <w:rsid w:val="0026250D"/>
    <w:rsid w:val="00294959"/>
    <w:rsid w:val="002A4F7A"/>
    <w:rsid w:val="002A6E63"/>
    <w:rsid w:val="00307F55"/>
    <w:rsid w:val="00391A8C"/>
    <w:rsid w:val="003A5E1A"/>
    <w:rsid w:val="00405C99"/>
    <w:rsid w:val="00432759"/>
    <w:rsid w:val="004576E4"/>
    <w:rsid w:val="00481BB5"/>
    <w:rsid w:val="00493D6A"/>
    <w:rsid w:val="00494537"/>
    <w:rsid w:val="004C6C07"/>
    <w:rsid w:val="004C79F5"/>
    <w:rsid w:val="00501503"/>
    <w:rsid w:val="00503D6A"/>
    <w:rsid w:val="005208D3"/>
    <w:rsid w:val="00535FA4"/>
    <w:rsid w:val="00550F30"/>
    <w:rsid w:val="0055332B"/>
    <w:rsid w:val="00570EB1"/>
    <w:rsid w:val="00587729"/>
    <w:rsid w:val="005A0FB6"/>
    <w:rsid w:val="005B2835"/>
    <w:rsid w:val="005B6F4C"/>
    <w:rsid w:val="005B764B"/>
    <w:rsid w:val="0063101F"/>
    <w:rsid w:val="0067371B"/>
    <w:rsid w:val="00674B2C"/>
    <w:rsid w:val="00692FA7"/>
    <w:rsid w:val="006970E7"/>
    <w:rsid w:val="006A0F76"/>
    <w:rsid w:val="007828C7"/>
    <w:rsid w:val="007B2906"/>
    <w:rsid w:val="0081650B"/>
    <w:rsid w:val="0082439B"/>
    <w:rsid w:val="008418C3"/>
    <w:rsid w:val="00861DAB"/>
    <w:rsid w:val="00864044"/>
    <w:rsid w:val="00872733"/>
    <w:rsid w:val="00873C1E"/>
    <w:rsid w:val="009007EC"/>
    <w:rsid w:val="00907D62"/>
    <w:rsid w:val="0096787F"/>
    <w:rsid w:val="00997D30"/>
    <w:rsid w:val="009C3E16"/>
    <w:rsid w:val="009E57B0"/>
    <w:rsid w:val="00A370DB"/>
    <w:rsid w:val="00A518B3"/>
    <w:rsid w:val="00A57743"/>
    <w:rsid w:val="00A935ED"/>
    <w:rsid w:val="00A95855"/>
    <w:rsid w:val="00AC1AC1"/>
    <w:rsid w:val="00AF109C"/>
    <w:rsid w:val="00B153D7"/>
    <w:rsid w:val="00B663B1"/>
    <w:rsid w:val="00B85646"/>
    <w:rsid w:val="00BA01DD"/>
    <w:rsid w:val="00BD310D"/>
    <w:rsid w:val="00BD78B8"/>
    <w:rsid w:val="00BE1545"/>
    <w:rsid w:val="00C02354"/>
    <w:rsid w:val="00C22574"/>
    <w:rsid w:val="00C41242"/>
    <w:rsid w:val="00C64988"/>
    <w:rsid w:val="00CA349D"/>
    <w:rsid w:val="00D07FD4"/>
    <w:rsid w:val="00D14A10"/>
    <w:rsid w:val="00D5688F"/>
    <w:rsid w:val="00D855FD"/>
    <w:rsid w:val="00DD759B"/>
    <w:rsid w:val="00EF5AC8"/>
    <w:rsid w:val="00F17CF5"/>
    <w:rsid w:val="00F32B45"/>
    <w:rsid w:val="00F6340E"/>
    <w:rsid w:val="00F66529"/>
    <w:rsid w:val="00F7246E"/>
    <w:rsid w:val="00FC0020"/>
    <w:rsid w:val="00FF0323"/>
    <w:rsid w:val="00FF7FB9"/>
    <w:rsid w:val="01115B19"/>
    <w:rsid w:val="01176EA7"/>
    <w:rsid w:val="01351CA3"/>
    <w:rsid w:val="015D5258"/>
    <w:rsid w:val="01B42948"/>
    <w:rsid w:val="01E50D53"/>
    <w:rsid w:val="01F75832"/>
    <w:rsid w:val="020531A4"/>
    <w:rsid w:val="020F7B7E"/>
    <w:rsid w:val="022441F1"/>
    <w:rsid w:val="022655F4"/>
    <w:rsid w:val="02296E92"/>
    <w:rsid w:val="02571C51"/>
    <w:rsid w:val="026003DA"/>
    <w:rsid w:val="026C4FD1"/>
    <w:rsid w:val="02BB423C"/>
    <w:rsid w:val="02DD1A2B"/>
    <w:rsid w:val="02DF57A3"/>
    <w:rsid w:val="02F4124E"/>
    <w:rsid w:val="03031491"/>
    <w:rsid w:val="031710BF"/>
    <w:rsid w:val="03177FFE"/>
    <w:rsid w:val="03304250"/>
    <w:rsid w:val="03343D40"/>
    <w:rsid w:val="033E4BBF"/>
    <w:rsid w:val="036A1510"/>
    <w:rsid w:val="036A7762"/>
    <w:rsid w:val="039F6392"/>
    <w:rsid w:val="03C970C9"/>
    <w:rsid w:val="03E80C8D"/>
    <w:rsid w:val="040469FC"/>
    <w:rsid w:val="041A53DE"/>
    <w:rsid w:val="042E69E2"/>
    <w:rsid w:val="0431202E"/>
    <w:rsid w:val="04480021"/>
    <w:rsid w:val="044B320D"/>
    <w:rsid w:val="04581CB1"/>
    <w:rsid w:val="045E5E68"/>
    <w:rsid w:val="04612EC8"/>
    <w:rsid w:val="04702B56"/>
    <w:rsid w:val="04A3117E"/>
    <w:rsid w:val="04ED41A7"/>
    <w:rsid w:val="05123C0E"/>
    <w:rsid w:val="051B203F"/>
    <w:rsid w:val="05200BED"/>
    <w:rsid w:val="053B5397"/>
    <w:rsid w:val="055D2614"/>
    <w:rsid w:val="056A3A4A"/>
    <w:rsid w:val="056D52E8"/>
    <w:rsid w:val="05717247"/>
    <w:rsid w:val="05DB4947"/>
    <w:rsid w:val="064D7D93"/>
    <w:rsid w:val="06540256"/>
    <w:rsid w:val="066A1827"/>
    <w:rsid w:val="06712BB6"/>
    <w:rsid w:val="06996AFE"/>
    <w:rsid w:val="06C61153"/>
    <w:rsid w:val="06D7510F"/>
    <w:rsid w:val="06DC432D"/>
    <w:rsid w:val="06E635A4"/>
    <w:rsid w:val="06E8731C"/>
    <w:rsid w:val="06F15AA5"/>
    <w:rsid w:val="070103DE"/>
    <w:rsid w:val="0706127B"/>
    <w:rsid w:val="0746796B"/>
    <w:rsid w:val="07634BF4"/>
    <w:rsid w:val="076F3599"/>
    <w:rsid w:val="077C5CB6"/>
    <w:rsid w:val="078B5AEB"/>
    <w:rsid w:val="07A019A5"/>
    <w:rsid w:val="07BB643C"/>
    <w:rsid w:val="07BC60B3"/>
    <w:rsid w:val="07E5385B"/>
    <w:rsid w:val="081A126C"/>
    <w:rsid w:val="083420ED"/>
    <w:rsid w:val="08380D7E"/>
    <w:rsid w:val="084542FA"/>
    <w:rsid w:val="08534C69"/>
    <w:rsid w:val="08585739"/>
    <w:rsid w:val="086230FE"/>
    <w:rsid w:val="08640C24"/>
    <w:rsid w:val="086F75C9"/>
    <w:rsid w:val="08966904"/>
    <w:rsid w:val="08D1788B"/>
    <w:rsid w:val="08D7692E"/>
    <w:rsid w:val="08E27D9B"/>
    <w:rsid w:val="08F17FDE"/>
    <w:rsid w:val="08FA3336"/>
    <w:rsid w:val="090E31D1"/>
    <w:rsid w:val="09167A44"/>
    <w:rsid w:val="092403B3"/>
    <w:rsid w:val="092B1742"/>
    <w:rsid w:val="09336848"/>
    <w:rsid w:val="09646A02"/>
    <w:rsid w:val="097F1D39"/>
    <w:rsid w:val="09A631F1"/>
    <w:rsid w:val="09BA4874"/>
    <w:rsid w:val="09BE6112"/>
    <w:rsid w:val="0A195A3E"/>
    <w:rsid w:val="0A24254E"/>
    <w:rsid w:val="0A27015B"/>
    <w:rsid w:val="0A3E7253"/>
    <w:rsid w:val="0A7113D6"/>
    <w:rsid w:val="0A99092D"/>
    <w:rsid w:val="0AA94352"/>
    <w:rsid w:val="0AB539B9"/>
    <w:rsid w:val="0AC57974"/>
    <w:rsid w:val="0AC97464"/>
    <w:rsid w:val="0BB63D50"/>
    <w:rsid w:val="0BC83278"/>
    <w:rsid w:val="0BDC4F75"/>
    <w:rsid w:val="0BF202F5"/>
    <w:rsid w:val="0C0A1AE2"/>
    <w:rsid w:val="0C2D757F"/>
    <w:rsid w:val="0C360B29"/>
    <w:rsid w:val="0C7358DA"/>
    <w:rsid w:val="0CB3217A"/>
    <w:rsid w:val="0CCC4FEA"/>
    <w:rsid w:val="0CD10852"/>
    <w:rsid w:val="0CDD4722"/>
    <w:rsid w:val="0CFD51A3"/>
    <w:rsid w:val="0D3B5CCB"/>
    <w:rsid w:val="0D3E2C05"/>
    <w:rsid w:val="0D5079C9"/>
    <w:rsid w:val="0D674D12"/>
    <w:rsid w:val="0D7336B7"/>
    <w:rsid w:val="0DAF693D"/>
    <w:rsid w:val="0DC83A03"/>
    <w:rsid w:val="0DCA66FD"/>
    <w:rsid w:val="0DDE4FD5"/>
    <w:rsid w:val="0E0B1B42"/>
    <w:rsid w:val="0E356BBF"/>
    <w:rsid w:val="0E441067"/>
    <w:rsid w:val="0E601E8E"/>
    <w:rsid w:val="0E9658AF"/>
    <w:rsid w:val="0EA45D79"/>
    <w:rsid w:val="0EB9159E"/>
    <w:rsid w:val="0EBB3BE8"/>
    <w:rsid w:val="0EBC56CF"/>
    <w:rsid w:val="0EBD108E"/>
    <w:rsid w:val="0ED9579C"/>
    <w:rsid w:val="0EEA5BFB"/>
    <w:rsid w:val="0EED1247"/>
    <w:rsid w:val="0F224F70"/>
    <w:rsid w:val="0F331350"/>
    <w:rsid w:val="0F380715"/>
    <w:rsid w:val="0F470958"/>
    <w:rsid w:val="0F4E1CE6"/>
    <w:rsid w:val="0F841BAC"/>
    <w:rsid w:val="0F847DFE"/>
    <w:rsid w:val="0F995B1A"/>
    <w:rsid w:val="0FAD1102"/>
    <w:rsid w:val="10057049"/>
    <w:rsid w:val="104650B3"/>
    <w:rsid w:val="10710382"/>
    <w:rsid w:val="10AA5642"/>
    <w:rsid w:val="10D601AF"/>
    <w:rsid w:val="10DD5A17"/>
    <w:rsid w:val="10E33EB1"/>
    <w:rsid w:val="11310D7F"/>
    <w:rsid w:val="11547AF1"/>
    <w:rsid w:val="116752E1"/>
    <w:rsid w:val="118E6D12"/>
    <w:rsid w:val="1191235E"/>
    <w:rsid w:val="11AA3420"/>
    <w:rsid w:val="11AB78C4"/>
    <w:rsid w:val="11CC783A"/>
    <w:rsid w:val="11ED321E"/>
    <w:rsid w:val="12055E19"/>
    <w:rsid w:val="12296A3A"/>
    <w:rsid w:val="12485112"/>
    <w:rsid w:val="1267386E"/>
    <w:rsid w:val="12883CD4"/>
    <w:rsid w:val="128D6FC9"/>
    <w:rsid w:val="128F7D8B"/>
    <w:rsid w:val="1299596E"/>
    <w:rsid w:val="12B30065"/>
    <w:rsid w:val="12BE3627"/>
    <w:rsid w:val="12FB03D7"/>
    <w:rsid w:val="13135720"/>
    <w:rsid w:val="13294F44"/>
    <w:rsid w:val="13365CBB"/>
    <w:rsid w:val="137C5334"/>
    <w:rsid w:val="13906D71"/>
    <w:rsid w:val="139B5716"/>
    <w:rsid w:val="139F4D43"/>
    <w:rsid w:val="13C908A8"/>
    <w:rsid w:val="13CE7899"/>
    <w:rsid w:val="13EC5F71"/>
    <w:rsid w:val="14186ABD"/>
    <w:rsid w:val="143F0797"/>
    <w:rsid w:val="1442159A"/>
    <w:rsid w:val="148F7029"/>
    <w:rsid w:val="154F4A0A"/>
    <w:rsid w:val="15C50828"/>
    <w:rsid w:val="161651B5"/>
    <w:rsid w:val="162437A1"/>
    <w:rsid w:val="16313F67"/>
    <w:rsid w:val="163634D4"/>
    <w:rsid w:val="165878EE"/>
    <w:rsid w:val="16DC7047"/>
    <w:rsid w:val="16E178E4"/>
    <w:rsid w:val="16EF0253"/>
    <w:rsid w:val="16F969DB"/>
    <w:rsid w:val="16FB6BF7"/>
    <w:rsid w:val="17035AAC"/>
    <w:rsid w:val="171001C9"/>
    <w:rsid w:val="1719707D"/>
    <w:rsid w:val="17297951"/>
    <w:rsid w:val="172F68A1"/>
    <w:rsid w:val="173E0892"/>
    <w:rsid w:val="1743234C"/>
    <w:rsid w:val="17522756"/>
    <w:rsid w:val="17B80644"/>
    <w:rsid w:val="17B92B0F"/>
    <w:rsid w:val="17DE3E23"/>
    <w:rsid w:val="17EF6030"/>
    <w:rsid w:val="17F6116D"/>
    <w:rsid w:val="18170A5C"/>
    <w:rsid w:val="183C6FFB"/>
    <w:rsid w:val="184C5231"/>
    <w:rsid w:val="186C10FC"/>
    <w:rsid w:val="186E51A7"/>
    <w:rsid w:val="187C2596"/>
    <w:rsid w:val="187C5B16"/>
    <w:rsid w:val="18A1557C"/>
    <w:rsid w:val="18BD7EDC"/>
    <w:rsid w:val="18C27852"/>
    <w:rsid w:val="18F7519C"/>
    <w:rsid w:val="19061883"/>
    <w:rsid w:val="191E7940"/>
    <w:rsid w:val="19436634"/>
    <w:rsid w:val="194D300E"/>
    <w:rsid w:val="194F0251"/>
    <w:rsid w:val="19623CB8"/>
    <w:rsid w:val="19832ED4"/>
    <w:rsid w:val="19B906A4"/>
    <w:rsid w:val="19CF65D8"/>
    <w:rsid w:val="19E9249B"/>
    <w:rsid w:val="1A02182F"/>
    <w:rsid w:val="1A0758B3"/>
    <w:rsid w:val="1A2C531A"/>
    <w:rsid w:val="1A345F7C"/>
    <w:rsid w:val="1A570ACE"/>
    <w:rsid w:val="1A824F3A"/>
    <w:rsid w:val="1A862C7C"/>
    <w:rsid w:val="1A970285"/>
    <w:rsid w:val="1AAA41F6"/>
    <w:rsid w:val="1AC73FB2"/>
    <w:rsid w:val="1ACE017F"/>
    <w:rsid w:val="1AD734D7"/>
    <w:rsid w:val="1AED4AA9"/>
    <w:rsid w:val="1B0E13F1"/>
    <w:rsid w:val="1B2F50C2"/>
    <w:rsid w:val="1B3E70B3"/>
    <w:rsid w:val="1B4346C9"/>
    <w:rsid w:val="1B5543FC"/>
    <w:rsid w:val="1B632FBD"/>
    <w:rsid w:val="1B830F69"/>
    <w:rsid w:val="1B8454BF"/>
    <w:rsid w:val="1B8A054A"/>
    <w:rsid w:val="1B8D1DE8"/>
    <w:rsid w:val="1BBB736E"/>
    <w:rsid w:val="1BD516A6"/>
    <w:rsid w:val="1C19367C"/>
    <w:rsid w:val="1C4032FE"/>
    <w:rsid w:val="1C67088B"/>
    <w:rsid w:val="1C6963B1"/>
    <w:rsid w:val="1C844F99"/>
    <w:rsid w:val="1CB52316"/>
    <w:rsid w:val="1CBB1599"/>
    <w:rsid w:val="1CD83537"/>
    <w:rsid w:val="1D110EBE"/>
    <w:rsid w:val="1D1449F8"/>
    <w:rsid w:val="1D181A53"/>
    <w:rsid w:val="1D1F1166"/>
    <w:rsid w:val="1D2720CB"/>
    <w:rsid w:val="1D3369BF"/>
    <w:rsid w:val="1D6628F1"/>
    <w:rsid w:val="1D6D1ED1"/>
    <w:rsid w:val="1D705109"/>
    <w:rsid w:val="1D756FD8"/>
    <w:rsid w:val="1D880AB9"/>
    <w:rsid w:val="1D927B8A"/>
    <w:rsid w:val="1DA0685C"/>
    <w:rsid w:val="1DCA10D2"/>
    <w:rsid w:val="1DCF493A"/>
    <w:rsid w:val="1E13270F"/>
    <w:rsid w:val="1E470974"/>
    <w:rsid w:val="1E6D7CAF"/>
    <w:rsid w:val="1E7828DC"/>
    <w:rsid w:val="1E7E3C6A"/>
    <w:rsid w:val="1E8F40C9"/>
    <w:rsid w:val="1E9516DF"/>
    <w:rsid w:val="1E9D3FC6"/>
    <w:rsid w:val="1EA4493B"/>
    <w:rsid w:val="1ED1023E"/>
    <w:rsid w:val="1EF328AA"/>
    <w:rsid w:val="1F046865"/>
    <w:rsid w:val="1F0A5363"/>
    <w:rsid w:val="1F325180"/>
    <w:rsid w:val="1F356A1F"/>
    <w:rsid w:val="1F615A66"/>
    <w:rsid w:val="1F901EA7"/>
    <w:rsid w:val="1F90634B"/>
    <w:rsid w:val="1FAE057F"/>
    <w:rsid w:val="1FCB7383"/>
    <w:rsid w:val="1FD46237"/>
    <w:rsid w:val="1FDC103B"/>
    <w:rsid w:val="1FEF3071"/>
    <w:rsid w:val="2011095D"/>
    <w:rsid w:val="2027280B"/>
    <w:rsid w:val="202F6387"/>
    <w:rsid w:val="2035036D"/>
    <w:rsid w:val="206A094A"/>
    <w:rsid w:val="20875058"/>
    <w:rsid w:val="20877BC8"/>
    <w:rsid w:val="209239FD"/>
    <w:rsid w:val="20983709"/>
    <w:rsid w:val="209F6845"/>
    <w:rsid w:val="20C77B4A"/>
    <w:rsid w:val="20D44015"/>
    <w:rsid w:val="20E95D13"/>
    <w:rsid w:val="20FB4407"/>
    <w:rsid w:val="212C5BFF"/>
    <w:rsid w:val="215533A8"/>
    <w:rsid w:val="216B2BCB"/>
    <w:rsid w:val="216B497A"/>
    <w:rsid w:val="21731A80"/>
    <w:rsid w:val="219519F6"/>
    <w:rsid w:val="21BE2CFB"/>
    <w:rsid w:val="21BF0821"/>
    <w:rsid w:val="21C422DC"/>
    <w:rsid w:val="21CD2F3E"/>
    <w:rsid w:val="222D1C2F"/>
    <w:rsid w:val="22606C0B"/>
    <w:rsid w:val="226108F9"/>
    <w:rsid w:val="226A510B"/>
    <w:rsid w:val="22B61C24"/>
    <w:rsid w:val="22BE47C1"/>
    <w:rsid w:val="22D95913"/>
    <w:rsid w:val="23164DB9"/>
    <w:rsid w:val="232642D8"/>
    <w:rsid w:val="234E00AF"/>
    <w:rsid w:val="2358717F"/>
    <w:rsid w:val="23604612"/>
    <w:rsid w:val="236E24FF"/>
    <w:rsid w:val="23761D89"/>
    <w:rsid w:val="238B62AE"/>
    <w:rsid w:val="239F090A"/>
    <w:rsid w:val="23DC1B5F"/>
    <w:rsid w:val="23E9602A"/>
    <w:rsid w:val="23FE7D27"/>
    <w:rsid w:val="2401016B"/>
    <w:rsid w:val="2419690F"/>
    <w:rsid w:val="243A6885"/>
    <w:rsid w:val="243D7171"/>
    <w:rsid w:val="24466FD8"/>
    <w:rsid w:val="244F40DF"/>
    <w:rsid w:val="2479115B"/>
    <w:rsid w:val="24E14332"/>
    <w:rsid w:val="24E86910"/>
    <w:rsid w:val="25041760"/>
    <w:rsid w:val="25056E93"/>
    <w:rsid w:val="25072C0B"/>
    <w:rsid w:val="25434620"/>
    <w:rsid w:val="25526380"/>
    <w:rsid w:val="255802FE"/>
    <w:rsid w:val="256C7B8F"/>
    <w:rsid w:val="257A33DD"/>
    <w:rsid w:val="25891872"/>
    <w:rsid w:val="25AB7A3A"/>
    <w:rsid w:val="25ED1E01"/>
    <w:rsid w:val="26311CB5"/>
    <w:rsid w:val="26347A30"/>
    <w:rsid w:val="26563EA7"/>
    <w:rsid w:val="267A351F"/>
    <w:rsid w:val="26865DB2"/>
    <w:rsid w:val="26A85D28"/>
    <w:rsid w:val="26D44D6F"/>
    <w:rsid w:val="26D46FF0"/>
    <w:rsid w:val="27174C5C"/>
    <w:rsid w:val="27533EE6"/>
    <w:rsid w:val="27734588"/>
    <w:rsid w:val="27A1542A"/>
    <w:rsid w:val="27C6290A"/>
    <w:rsid w:val="27E44ABA"/>
    <w:rsid w:val="27EE6A79"/>
    <w:rsid w:val="27F751B9"/>
    <w:rsid w:val="28134DE0"/>
    <w:rsid w:val="281F64BE"/>
    <w:rsid w:val="28235FAE"/>
    <w:rsid w:val="28491BD5"/>
    <w:rsid w:val="28616AD6"/>
    <w:rsid w:val="286345FC"/>
    <w:rsid w:val="286E6AFD"/>
    <w:rsid w:val="2886653D"/>
    <w:rsid w:val="28B60BD0"/>
    <w:rsid w:val="28C52950"/>
    <w:rsid w:val="28F25980"/>
    <w:rsid w:val="2960061D"/>
    <w:rsid w:val="296A72BE"/>
    <w:rsid w:val="29EA6657"/>
    <w:rsid w:val="29EE7EF6"/>
    <w:rsid w:val="2A0F3222"/>
    <w:rsid w:val="2A286A7E"/>
    <w:rsid w:val="2A636B36"/>
    <w:rsid w:val="2A7C7BF7"/>
    <w:rsid w:val="2A832D34"/>
    <w:rsid w:val="2AB26147"/>
    <w:rsid w:val="2AEE0B6E"/>
    <w:rsid w:val="2AEE38DA"/>
    <w:rsid w:val="2AF42814"/>
    <w:rsid w:val="2AF43C32"/>
    <w:rsid w:val="2AFC6642"/>
    <w:rsid w:val="2B0F45C8"/>
    <w:rsid w:val="2B204A27"/>
    <w:rsid w:val="2B6D6220"/>
    <w:rsid w:val="2B762899"/>
    <w:rsid w:val="2B852ADC"/>
    <w:rsid w:val="2B884CF4"/>
    <w:rsid w:val="2BAD5B8F"/>
    <w:rsid w:val="2BB61491"/>
    <w:rsid w:val="2BBE478D"/>
    <w:rsid w:val="2BD95653"/>
    <w:rsid w:val="2C1D0F66"/>
    <w:rsid w:val="2C251BC9"/>
    <w:rsid w:val="2C3D33B6"/>
    <w:rsid w:val="2C4E7372"/>
    <w:rsid w:val="2C4F7A85"/>
    <w:rsid w:val="2C5F50DB"/>
    <w:rsid w:val="2C6E17C2"/>
    <w:rsid w:val="2C735EB2"/>
    <w:rsid w:val="2C772424"/>
    <w:rsid w:val="2C92725E"/>
    <w:rsid w:val="2CBE7F06"/>
    <w:rsid w:val="2CC22BD3"/>
    <w:rsid w:val="2CCC5610"/>
    <w:rsid w:val="2CE37ABA"/>
    <w:rsid w:val="2CEA709A"/>
    <w:rsid w:val="2D4114FA"/>
    <w:rsid w:val="2D546C0A"/>
    <w:rsid w:val="2D564730"/>
    <w:rsid w:val="2D656721"/>
    <w:rsid w:val="2E100266"/>
    <w:rsid w:val="2E362B40"/>
    <w:rsid w:val="2EA57FCA"/>
    <w:rsid w:val="2EB711FE"/>
    <w:rsid w:val="2ED753FC"/>
    <w:rsid w:val="2EEE2746"/>
    <w:rsid w:val="2EFF4953"/>
    <w:rsid w:val="2F236894"/>
    <w:rsid w:val="2F2A7C22"/>
    <w:rsid w:val="2F37233F"/>
    <w:rsid w:val="2F4607D4"/>
    <w:rsid w:val="2F4800A8"/>
    <w:rsid w:val="2F715851"/>
    <w:rsid w:val="2F895CD7"/>
    <w:rsid w:val="2F9B467C"/>
    <w:rsid w:val="2FBB6ACC"/>
    <w:rsid w:val="2FC36724"/>
    <w:rsid w:val="300A35B0"/>
    <w:rsid w:val="302503E9"/>
    <w:rsid w:val="3049232A"/>
    <w:rsid w:val="30592D75"/>
    <w:rsid w:val="30705B08"/>
    <w:rsid w:val="307750E9"/>
    <w:rsid w:val="30890978"/>
    <w:rsid w:val="30903079"/>
    <w:rsid w:val="30A77050"/>
    <w:rsid w:val="30B23178"/>
    <w:rsid w:val="30BD4AC6"/>
    <w:rsid w:val="30C07012"/>
    <w:rsid w:val="30C65728"/>
    <w:rsid w:val="30C776F3"/>
    <w:rsid w:val="30F60F80"/>
    <w:rsid w:val="3100069F"/>
    <w:rsid w:val="31010E56"/>
    <w:rsid w:val="310D15A9"/>
    <w:rsid w:val="31102E48"/>
    <w:rsid w:val="312E32CE"/>
    <w:rsid w:val="313034EA"/>
    <w:rsid w:val="313A6116"/>
    <w:rsid w:val="315D3E4E"/>
    <w:rsid w:val="316006CA"/>
    <w:rsid w:val="31634510"/>
    <w:rsid w:val="31774C75"/>
    <w:rsid w:val="31807FCD"/>
    <w:rsid w:val="31A737AC"/>
    <w:rsid w:val="31B163D9"/>
    <w:rsid w:val="31B94EFA"/>
    <w:rsid w:val="31CA1248"/>
    <w:rsid w:val="32004C6A"/>
    <w:rsid w:val="32056724"/>
    <w:rsid w:val="32193F7E"/>
    <w:rsid w:val="324E62B4"/>
    <w:rsid w:val="325703DB"/>
    <w:rsid w:val="32632122"/>
    <w:rsid w:val="32696CB3"/>
    <w:rsid w:val="326E42CA"/>
    <w:rsid w:val="3276317E"/>
    <w:rsid w:val="3288378C"/>
    <w:rsid w:val="32AC1689"/>
    <w:rsid w:val="32D0137E"/>
    <w:rsid w:val="32E40B04"/>
    <w:rsid w:val="33022C64"/>
    <w:rsid w:val="3321758E"/>
    <w:rsid w:val="333F17C2"/>
    <w:rsid w:val="33723946"/>
    <w:rsid w:val="33835740"/>
    <w:rsid w:val="338E766B"/>
    <w:rsid w:val="33957634"/>
    <w:rsid w:val="33A63FFD"/>
    <w:rsid w:val="33B51A84"/>
    <w:rsid w:val="33B717D2"/>
    <w:rsid w:val="33E536D0"/>
    <w:rsid w:val="33E81E5A"/>
    <w:rsid w:val="341B222F"/>
    <w:rsid w:val="3421711A"/>
    <w:rsid w:val="3422536C"/>
    <w:rsid w:val="34357203"/>
    <w:rsid w:val="344E43B3"/>
    <w:rsid w:val="348C4EDB"/>
    <w:rsid w:val="349124F1"/>
    <w:rsid w:val="349A13A6"/>
    <w:rsid w:val="34CC177B"/>
    <w:rsid w:val="34E268A9"/>
    <w:rsid w:val="34EC597A"/>
    <w:rsid w:val="34ED7489"/>
    <w:rsid w:val="34EF0FC6"/>
    <w:rsid w:val="351B1DBB"/>
    <w:rsid w:val="35702107"/>
    <w:rsid w:val="358114E7"/>
    <w:rsid w:val="35831E3A"/>
    <w:rsid w:val="35847960"/>
    <w:rsid w:val="35A73657"/>
    <w:rsid w:val="35A820F8"/>
    <w:rsid w:val="35B20971"/>
    <w:rsid w:val="35D97CAC"/>
    <w:rsid w:val="35F20D6E"/>
    <w:rsid w:val="35F965A0"/>
    <w:rsid w:val="35FC7E3E"/>
    <w:rsid w:val="360530DE"/>
    <w:rsid w:val="360F36CE"/>
    <w:rsid w:val="361E1B63"/>
    <w:rsid w:val="362A675A"/>
    <w:rsid w:val="36351176"/>
    <w:rsid w:val="368F2A60"/>
    <w:rsid w:val="36906BA7"/>
    <w:rsid w:val="369344D1"/>
    <w:rsid w:val="36C7044C"/>
    <w:rsid w:val="36E20DE2"/>
    <w:rsid w:val="36EF34FF"/>
    <w:rsid w:val="37054AD1"/>
    <w:rsid w:val="374D6BA3"/>
    <w:rsid w:val="37557806"/>
    <w:rsid w:val="375D66BB"/>
    <w:rsid w:val="37971BCD"/>
    <w:rsid w:val="37B95D47"/>
    <w:rsid w:val="37C130EE"/>
    <w:rsid w:val="37DD54E2"/>
    <w:rsid w:val="37F4701F"/>
    <w:rsid w:val="38080D1C"/>
    <w:rsid w:val="381C4F93"/>
    <w:rsid w:val="382D42DF"/>
    <w:rsid w:val="383438BF"/>
    <w:rsid w:val="38397128"/>
    <w:rsid w:val="385201EA"/>
    <w:rsid w:val="38685317"/>
    <w:rsid w:val="38726196"/>
    <w:rsid w:val="38A00F55"/>
    <w:rsid w:val="38B17DD2"/>
    <w:rsid w:val="38B36EDA"/>
    <w:rsid w:val="38BF4DF3"/>
    <w:rsid w:val="38F31085"/>
    <w:rsid w:val="38FB262F"/>
    <w:rsid w:val="39070FD4"/>
    <w:rsid w:val="393F42CA"/>
    <w:rsid w:val="39504729"/>
    <w:rsid w:val="395F671A"/>
    <w:rsid w:val="39A50CAF"/>
    <w:rsid w:val="39BD1693"/>
    <w:rsid w:val="39C66799"/>
    <w:rsid w:val="39CD5D7A"/>
    <w:rsid w:val="39DD3AE3"/>
    <w:rsid w:val="39FB53A6"/>
    <w:rsid w:val="3A146478"/>
    <w:rsid w:val="3A345DF9"/>
    <w:rsid w:val="3A5B3385"/>
    <w:rsid w:val="3A5E4C24"/>
    <w:rsid w:val="3A751F6D"/>
    <w:rsid w:val="3A993EAE"/>
    <w:rsid w:val="3AFE7C77"/>
    <w:rsid w:val="3B2C087E"/>
    <w:rsid w:val="3B381919"/>
    <w:rsid w:val="3B536406"/>
    <w:rsid w:val="3B781D15"/>
    <w:rsid w:val="3B954675"/>
    <w:rsid w:val="3BCD33B5"/>
    <w:rsid w:val="3C0C2ABB"/>
    <w:rsid w:val="3C3A346E"/>
    <w:rsid w:val="3C575DCE"/>
    <w:rsid w:val="3CE8111C"/>
    <w:rsid w:val="3D0E569F"/>
    <w:rsid w:val="3D346110"/>
    <w:rsid w:val="3D3A1978"/>
    <w:rsid w:val="3D6A38DF"/>
    <w:rsid w:val="3D934BE4"/>
    <w:rsid w:val="3DBA6615"/>
    <w:rsid w:val="3DCB0822"/>
    <w:rsid w:val="3DDD0555"/>
    <w:rsid w:val="3DFE2E5B"/>
    <w:rsid w:val="3E0265E3"/>
    <w:rsid w:val="3E126451"/>
    <w:rsid w:val="3E3143FD"/>
    <w:rsid w:val="3E323135"/>
    <w:rsid w:val="3EA51073"/>
    <w:rsid w:val="3EBC016B"/>
    <w:rsid w:val="3ECD4126"/>
    <w:rsid w:val="3ED100BA"/>
    <w:rsid w:val="3EEA4CD8"/>
    <w:rsid w:val="3EF26282"/>
    <w:rsid w:val="3F255D10"/>
    <w:rsid w:val="3F4F3156"/>
    <w:rsid w:val="3F5D7BA0"/>
    <w:rsid w:val="3F777EDD"/>
    <w:rsid w:val="3FAC4683"/>
    <w:rsid w:val="3FC1012F"/>
    <w:rsid w:val="3FCA68B7"/>
    <w:rsid w:val="3FDB02D8"/>
    <w:rsid w:val="3FF34060"/>
    <w:rsid w:val="40407926"/>
    <w:rsid w:val="404D141F"/>
    <w:rsid w:val="40570C43"/>
    <w:rsid w:val="407056B1"/>
    <w:rsid w:val="40D76BFF"/>
    <w:rsid w:val="40E47F0A"/>
    <w:rsid w:val="40EA5463"/>
    <w:rsid w:val="40FE2CBD"/>
    <w:rsid w:val="4110479E"/>
    <w:rsid w:val="41175B2C"/>
    <w:rsid w:val="411A73CB"/>
    <w:rsid w:val="41272213"/>
    <w:rsid w:val="41436921"/>
    <w:rsid w:val="414A7CB0"/>
    <w:rsid w:val="41894C7C"/>
    <w:rsid w:val="41AF045B"/>
    <w:rsid w:val="41C04416"/>
    <w:rsid w:val="41C51A2C"/>
    <w:rsid w:val="41D13F2D"/>
    <w:rsid w:val="41DF2AEE"/>
    <w:rsid w:val="41E00614"/>
    <w:rsid w:val="42044303"/>
    <w:rsid w:val="420C73C0"/>
    <w:rsid w:val="421F5007"/>
    <w:rsid w:val="42334BE8"/>
    <w:rsid w:val="42611755"/>
    <w:rsid w:val="426B25D4"/>
    <w:rsid w:val="42841780"/>
    <w:rsid w:val="429F227D"/>
    <w:rsid w:val="42C910B6"/>
    <w:rsid w:val="42D737C5"/>
    <w:rsid w:val="42E303BC"/>
    <w:rsid w:val="4303280C"/>
    <w:rsid w:val="434D7F2B"/>
    <w:rsid w:val="43B458B4"/>
    <w:rsid w:val="43D94129"/>
    <w:rsid w:val="43E70F0B"/>
    <w:rsid w:val="43E73EDC"/>
    <w:rsid w:val="43ED0DC6"/>
    <w:rsid w:val="43F6411F"/>
    <w:rsid w:val="43F92EAB"/>
    <w:rsid w:val="440305EA"/>
    <w:rsid w:val="4407632C"/>
    <w:rsid w:val="44150A49"/>
    <w:rsid w:val="44704E06"/>
    <w:rsid w:val="449A71A0"/>
    <w:rsid w:val="44B87626"/>
    <w:rsid w:val="44F14EE7"/>
    <w:rsid w:val="44F63EA4"/>
    <w:rsid w:val="45294080"/>
    <w:rsid w:val="45390767"/>
    <w:rsid w:val="454C572D"/>
    <w:rsid w:val="45675560"/>
    <w:rsid w:val="458539AC"/>
    <w:rsid w:val="45893C4A"/>
    <w:rsid w:val="45997458"/>
    <w:rsid w:val="45CD7101"/>
    <w:rsid w:val="45D46A9D"/>
    <w:rsid w:val="45DE76F4"/>
    <w:rsid w:val="46130FB8"/>
    <w:rsid w:val="462F3918"/>
    <w:rsid w:val="46342CDD"/>
    <w:rsid w:val="4655008C"/>
    <w:rsid w:val="465670F7"/>
    <w:rsid w:val="465C0918"/>
    <w:rsid w:val="465E5670"/>
    <w:rsid w:val="467E5F77"/>
    <w:rsid w:val="46933EA7"/>
    <w:rsid w:val="46935C55"/>
    <w:rsid w:val="469519CD"/>
    <w:rsid w:val="46BC33FE"/>
    <w:rsid w:val="46CB461C"/>
    <w:rsid w:val="46CE1383"/>
    <w:rsid w:val="47003C8C"/>
    <w:rsid w:val="471E3392"/>
    <w:rsid w:val="47517332"/>
    <w:rsid w:val="47633E3F"/>
    <w:rsid w:val="47727F60"/>
    <w:rsid w:val="47857C94"/>
    <w:rsid w:val="478C5003"/>
    <w:rsid w:val="47A04ACD"/>
    <w:rsid w:val="47AA76FA"/>
    <w:rsid w:val="47D67707"/>
    <w:rsid w:val="47E27355"/>
    <w:rsid w:val="482A4397"/>
    <w:rsid w:val="482B6E04"/>
    <w:rsid w:val="48401E0D"/>
    <w:rsid w:val="485A2173"/>
    <w:rsid w:val="486024AF"/>
    <w:rsid w:val="48877A3B"/>
    <w:rsid w:val="48955642"/>
    <w:rsid w:val="48A64365"/>
    <w:rsid w:val="48C04CFB"/>
    <w:rsid w:val="48E761F0"/>
    <w:rsid w:val="48F56263"/>
    <w:rsid w:val="48F7696F"/>
    <w:rsid w:val="49001284"/>
    <w:rsid w:val="493C5F35"/>
    <w:rsid w:val="497844E5"/>
    <w:rsid w:val="497C15DC"/>
    <w:rsid w:val="49836F4B"/>
    <w:rsid w:val="49E05655"/>
    <w:rsid w:val="4A162E25"/>
    <w:rsid w:val="4A446B6E"/>
    <w:rsid w:val="4A677B24"/>
    <w:rsid w:val="4A6E0EB3"/>
    <w:rsid w:val="4A9401EE"/>
    <w:rsid w:val="4AA20B5D"/>
    <w:rsid w:val="4AA523FB"/>
    <w:rsid w:val="4AEA6060"/>
    <w:rsid w:val="4AFA62A3"/>
    <w:rsid w:val="4B052E99"/>
    <w:rsid w:val="4B305B30"/>
    <w:rsid w:val="4B4E65EF"/>
    <w:rsid w:val="4BBD5522"/>
    <w:rsid w:val="4BC66ACD"/>
    <w:rsid w:val="4BE1311C"/>
    <w:rsid w:val="4BE13907"/>
    <w:rsid w:val="4BED67DE"/>
    <w:rsid w:val="4BF453E8"/>
    <w:rsid w:val="4C041C9D"/>
    <w:rsid w:val="4C404189"/>
    <w:rsid w:val="4C516396"/>
    <w:rsid w:val="4C612351"/>
    <w:rsid w:val="4C6F6B8D"/>
    <w:rsid w:val="4C991AEB"/>
    <w:rsid w:val="4CF65190"/>
    <w:rsid w:val="4D0E24D9"/>
    <w:rsid w:val="4D1B4BF6"/>
    <w:rsid w:val="4D3161C8"/>
    <w:rsid w:val="4D3355A9"/>
    <w:rsid w:val="4D5A74CD"/>
    <w:rsid w:val="4D5D0D6B"/>
    <w:rsid w:val="4D5E681E"/>
    <w:rsid w:val="4D6E11CA"/>
    <w:rsid w:val="4D9724CF"/>
    <w:rsid w:val="4D9B3EA0"/>
    <w:rsid w:val="4D9C1893"/>
    <w:rsid w:val="4DD70B1D"/>
    <w:rsid w:val="4DFC4A28"/>
    <w:rsid w:val="4E292A5F"/>
    <w:rsid w:val="4E323FA5"/>
    <w:rsid w:val="4E361CE8"/>
    <w:rsid w:val="4E395334"/>
    <w:rsid w:val="4E402B66"/>
    <w:rsid w:val="4E7445BE"/>
    <w:rsid w:val="4E7A5A52"/>
    <w:rsid w:val="4EDD2163"/>
    <w:rsid w:val="4EF23735"/>
    <w:rsid w:val="4F0B3174"/>
    <w:rsid w:val="4F4A531F"/>
    <w:rsid w:val="4F5A37B4"/>
    <w:rsid w:val="4F813436"/>
    <w:rsid w:val="4F912F4E"/>
    <w:rsid w:val="4FAB400F"/>
    <w:rsid w:val="4FBF3F5F"/>
    <w:rsid w:val="4FD03A76"/>
    <w:rsid w:val="4FD86A3A"/>
    <w:rsid w:val="4FD95593"/>
    <w:rsid w:val="4FE614EB"/>
    <w:rsid w:val="4FFC486B"/>
    <w:rsid w:val="506B19F1"/>
    <w:rsid w:val="508605D9"/>
    <w:rsid w:val="508F3931"/>
    <w:rsid w:val="5099030C"/>
    <w:rsid w:val="509B182F"/>
    <w:rsid w:val="50B05655"/>
    <w:rsid w:val="50E0418D"/>
    <w:rsid w:val="50E772C9"/>
    <w:rsid w:val="50EC0D83"/>
    <w:rsid w:val="50ED0658"/>
    <w:rsid w:val="510A2FB8"/>
    <w:rsid w:val="5117642F"/>
    <w:rsid w:val="5157015A"/>
    <w:rsid w:val="51A5573C"/>
    <w:rsid w:val="51AE428B"/>
    <w:rsid w:val="51AF1239"/>
    <w:rsid w:val="51DA6E2E"/>
    <w:rsid w:val="51FF4AE6"/>
    <w:rsid w:val="51FF6894"/>
    <w:rsid w:val="521D6D1B"/>
    <w:rsid w:val="524644C3"/>
    <w:rsid w:val="527C7EE5"/>
    <w:rsid w:val="52833022"/>
    <w:rsid w:val="529945F3"/>
    <w:rsid w:val="52A35472"/>
    <w:rsid w:val="52B7716F"/>
    <w:rsid w:val="52B94C95"/>
    <w:rsid w:val="52F932E4"/>
    <w:rsid w:val="531B4097"/>
    <w:rsid w:val="536746F1"/>
    <w:rsid w:val="5386726D"/>
    <w:rsid w:val="53963229"/>
    <w:rsid w:val="53AA2FC7"/>
    <w:rsid w:val="53FD3B88"/>
    <w:rsid w:val="5411465D"/>
    <w:rsid w:val="542D74DB"/>
    <w:rsid w:val="54992FD0"/>
    <w:rsid w:val="549A4653"/>
    <w:rsid w:val="54D51B2F"/>
    <w:rsid w:val="54FC70BB"/>
    <w:rsid w:val="55164621"/>
    <w:rsid w:val="55230AEC"/>
    <w:rsid w:val="553D1BAE"/>
    <w:rsid w:val="5560589C"/>
    <w:rsid w:val="556D40C2"/>
    <w:rsid w:val="55AE4859"/>
    <w:rsid w:val="55B27119"/>
    <w:rsid w:val="55BA1450"/>
    <w:rsid w:val="55C71477"/>
    <w:rsid w:val="55D968F4"/>
    <w:rsid w:val="55F935FB"/>
    <w:rsid w:val="55FB4620"/>
    <w:rsid w:val="564B02FA"/>
    <w:rsid w:val="566C0BB6"/>
    <w:rsid w:val="568B06F7"/>
    <w:rsid w:val="56C0316C"/>
    <w:rsid w:val="56C4574F"/>
    <w:rsid w:val="572E6585"/>
    <w:rsid w:val="573375E6"/>
    <w:rsid w:val="574A2360"/>
    <w:rsid w:val="575D6537"/>
    <w:rsid w:val="578735B4"/>
    <w:rsid w:val="579932E7"/>
    <w:rsid w:val="57A7274B"/>
    <w:rsid w:val="57AD28EF"/>
    <w:rsid w:val="57BF79C5"/>
    <w:rsid w:val="57C02622"/>
    <w:rsid w:val="57CE2F91"/>
    <w:rsid w:val="57E575A0"/>
    <w:rsid w:val="57F81DBC"/>
    <w:rsid w:val="58145AFB"/>
    <w:rsid w:val="58156E12"/>
    <w:rsid w:val="581A46ED"/>
    <w:rsid w:val="582B2191"/>
    <w:rsid w:val="585316E8"/>
    <w:rsid w:val="58B24661"/>
    <w:rsid w:val="58C63C68"/>
    <w:rsid w:val="58D740C7"/>
    <w:rsid w:val="590925F5"/>
    <w:rsid w:val="59154BEF"/>
    <w:rsid w:val="594F2C8A"/>
    <w:rsid w:val="5954396A"/>
    <w:rsid w:val="598F04FE"/>
    <w:rsid w:val="59B63CDD"/>
    <w:rsid w:val="59D1275D"/>
    <w:rsid w:val="59D14FBA"/>
    <w:rsid w:val="5A3115B5"/>
    <w:rsid w:val="5A386DE8"/>
    <w:rsid w:val="5A6E2809"/>
    <w:rsid w:val="5A706581"/>
    <w:rsid w:val="5A9164F8"/>
    <w:rsid w:val="5AB26B9A"/>
    <w:rsid w:val="5B182775"/>
    <w:rsid w:val="5B411CCC"/>
    <w:rsid w:val="5B527A35"/>
    <w:rsid w:val="5B5A4B3C"/>
    <w:rsid w:val="5B77749C"/>
    <w:rsid w:val="5B8117C7"/>
    <w:rsid w:val="5B975D90"/>
    <w:rsid w:val="5BAF6C35"/>
    <w:rsid w:val="5BC22E0D"/>
    <w:rsid w:val="5C272C70"/>
    <w:rsid w:val="5C335AB8"/>
    <w:rsid w:val="5C3E620B"/>
    <w:rsid w:val="5C4E644E"/>
    <w:rsid w:val="5C4F0418"/>
    <w:rsid w:val="5C8400C2"/>
    <w:rsid w:val="5C844566"/>
    <w:rsid w:val="5C8E2CEF"/>
    <w:rsid w:val="5CA644DC"/>
    <w:rsid w:val="5CC42BB4"/>
    <w:rsid w:val="5CDF354A"/>
    <w:rsid w:val="5D1E6EE2"/>
    <w:rsid w:val="5D3E2967"/>
    <w:rsid w:val="5D753EAF"/>
    <w:rsid w:val="5D995DEF"/>
    <w:rsid w:val="5DA14CA4"/>
    <w:rsid w:val="5DC7295C"/>
    <w:rsid w:val="5DCD7847"/>
    <w:rsid w:val="5DD40BD5"/>
    <w:rsid w:val="5DDB1F64"/>
    <w:rsid w:val="5DE352BC"/>
    <w:rsid w:val="5E14191A"/>
    <w:rsid w:val="5E190CDE"/>
    <w:rsid w:val="5E323B4E"/>
    <w:rsid w:val="5E3F4206"/>
    <w:rsid w:val="5E47584B"/>
    <w:rsid w:val="5E4E6BDA"/>
    <w:rsid w:val="5E8C14B0"/>
    <w:rsid w:val="5E930A90"/>
    <w:rsid w:val="5EF80237"/>
    <w:rsid w:val="5F035BFD"/>
    <w:rsid w:val="5F276A30"/>
    <w:rsid w:val="5F447FDD"/>
    <w:rsid w:val="5F9F7A44"/>
    <w:rsid w:val="5FE5356E"/>
    <w:rsid w:val="6008100A"/>
    <w:rsid w:val="60237BF2"/>
    <w:rsid w:val="602C1408"/>
    <w:rsid w:val="603966DF"/>
    <w:rsid w:val="603D38D8"/>
    <w:rsid w:val="60517104"/>
    <w:rsid w:val="6057394E"/>
    <w:rsid w:val="60786190"/>
    <w:rsid w:val="60806DEC"/>
    <w:rsid w:val="60AE7E03"/>
    <w:rsid w:val="60DD5FF3"/>
    <w:rsid w:val="60F33A68"/>
    <w:rsid w:val="60F62BE8"/>
    <w:rsid w:val="61823596"/>
    <w:rsid w:val="61882403"/>
    <w:rsid w:val="620F6680"/>
    <w:rsid w:val="62233ED9"/>
    <w:rsid w:val="622540F5"/>
    <w:rsid w:val="624F1172"/>
    <w:rsid w:val="624F4CCE"/>
    <w:rsid w:val="62683FE2"/>
    <w:rsid w:val="62782477"/>
    <w:rsid w:val="628A21AA"/>
    <w:rsid w:val="62C00551"/>
    <w:rsid w:val="62C03E1E"/>
    <w:rsid w:val="62C92CD3"/>
    <w:rsid w:val="62DB1701"/>
    <w:rsid w:val="62DB47B4"/>
    <w:rsid w:val="62E95123"/>
    <w:rsid w:val="62F63C01"/>
    <w:rsid w:val="62FB4E56"/>
    <w:rsid w:val="63021D41"/>
    <w:rsid w:val="634467FD"/>
    <w:rsid w:val="6356208C"/>
    <w:rsid w:val="635D341B"/>
    <w:rsid w:val="635E4BF7"/>
    <w:rsid w:val="635F3637"/>
    <w:rsid w:val="637569B7"/>
    <w:rsid w:val="63894AB2"/>
    <w:rsid w:val="639826A5"/>
    <w:rsid w:val="63B55005"/>
    <w:rsid w:val="63E37DC4"/>
    <w:rsid w:val="63F20007"/>
    <w:rsid w:val="64182CFF"/>
    <w:rsid w:val="642503DD"/>
    <w:rsid w:val="64460353"/>
    <w:rsid w:val="64590086"/>
    <w:rsid w:val="645C7CF1"/>
    <w:rsid w:val="64652044"/>
    <w:rsid w:val="64671A07"/>
    <w:rsid w:val="647924D6"/>
    <w:rsid w:val="648B08E1"/>
    <w:rsid w:val="64EE6A20"/>
    <w:rsid w:val="64EF2799"/>
    <w:rsid w:val="64FC7986"/>
    <w:rsid w:val="65046244"/>
    <w:rsid w:val="65055B18"/>
    <w:rsid w:val="65990C95"/>
    <w:rsid w:val="659A0956"/>
    <w:rsid w:val="65AB3BE3"/>
    <w:rsid w:val="65AC068A"/>
    <w:rsid w:val="65F05B06"/>
    <w:rsid w:val="65F2315C"/>
    <w:rsid w:val="660202AA"/>
    <w:rsid w:val="66112A4E"/>
    <w:rsid w:val="66660838"/>
    <w:rsid w:val="66742F55"/>
    <w:rsid w:val="667635FA"/>
    <w:rsid w:val="66907D18"/>
    <w:rsid w:val="66A17AC3"/>
    <w:rsid w:val="66BA6C70"/>
    <w:rsid w:val="66DA5861"/>
    <w:rsid w:val="67530DBD"/>
    <w:rsid w:val="67650AF0"/>
    <w:rsid w:val="678D7616"/>
    <w:rsid w:val="67A7735B"/>
    <w:rsid w:val="67C5088E"/>
    <w:rsid w:val="67E759A9"/>
    <w:rsid w:val="68103152"/>
    <w:rsid w:val="68386205"/>
    <w:rsid w:val="684921C0"/>
    <w:rsid w:val="685017A0"/>
    <w:rsid w:val="685D354E"/>
    <w:rsid w:val="686C3925"/>
    <w:rsid w:val="68790CF7"/>
    <w:rsid w:val="688222C7"/>
    <w:rsid w:val="689C49E5"/>
    <w:rsid w:val="68A8338A"/>
    <w:rsid w:val="68AA7102"/>
    <w:rsid w:val="68B41D2F"/>
    <w:rsid w:val="68D27878"/>
    <w:rsid w:val="68DD4B76"/>
    <w:rsid w:val="68FB795E"/>
    <w:rsid w:val="69584DB0"/>
    <w:rsid w:val="69661DA4"/>
    <w:rsid w:val="697224DF"/>
    <w:rsid w:val="69733998"/>
    <w:rsid w:val="69912070"/>
    <w:rsid w:val="69AC5E3B"/>
    <w:rsid w:val="69DB3EAA"/>
    <w:rsid w:val="6A0665BA"/>
    <w:rsid w:val="6A2151A2"/>
    <w:rsid w:val="6A276531"/>
    <w:rsid w:val="6A2E5B11"/>
    <w:rsid w:val="6A301889"/>
    <w:rsid w:val="6A6E23B2"/>
    <w:rsid w:val="6A837C0B"/>
    <w:rsid w:val="6AAF3908"/>
    <w:rsid w:val="6AC02C0D"/>
    <w:rsid w:val="6AC975E8"/>
    <w:rsid w:val="6B1E5B86"/>
    <w:rsid w:val="6B6C069F"/>
    <w:rsid w:val="6B7A2FD0"/>
    <w:rsid w:val="6B8316AA"/>
    <w:rsid w:val="6B8E2D0B"/>
    <w:rsid w:val="6B99345E"/>
    <w:rsid w:val="6BB12556"/>
    <w:rsid w:val="6BB838E4"/>
    <w:rsid w:val="6BD103F9"/>
    <w:rsid w:val="6BD526E8"/>
    <w:rsid w:val="6BED5365"/>
    <w:rsid w:val="6C180827"/>
    <w:rsid w:val="6C1D408F"/>
    <w:rsid w:val="6C9A748E"/>
    <w:rsid w:val="6CA9147F"/>
    <w:rsid w:val="6CAE2F39"/>
    <w:rsid w:val="6CB84909"/>
    <w:rsid w:val="6CF46B9E"/>
    <w:rsid w:val="6D050DAB"/>
    <w:rsid w:val="6D521B17"/>
    <w:rsid w:val="6D54763D"/>
    <w:rsid w:val="6D7E0B5E"/>
    <w:rsid w:val="6D885538"/>
    <w:rsid w:val="6D8A7502"/>
    <w:rsid w:val="6DBA46BC"/>
    <w:rsid w:val="6DBB3B60"/>
    <w:rsid w:val="6DC42A14"/>
    <w:rsid w:val="6DCA5B51"/>
    <w:rsid w:val="6DFC4DD9"/>
    <w:rsid w:val="6E0C6169"/>
    <w:rsid w:val="6E810905"/>
    <w:rsid w:val="6EA445F4"/>
    <w:rsid w:val="6EE67883"/>
    <w:rsid w:val="6F1A6664"/>
    <w:rsid w:val="6F1B60C3"/>
    <w:rsid w:val="6F285225"/>
    <w:rsid w:val="6F314032"/>
    <w:rsid w:val="6F343BCA"/>
    <w:rsid w:val="6F4656AB"/>
    <w:rsid w:val="6F4D6A39"/>
    <w:rsid w:val="6F745D74"/>
    <w:rsid w:val="6FB10D76"/>
    <w:rsid w:val="6FBE16E5"/>
    <w:rsid w:val="6FFB46E7"/>
    <w:rsid w:val="6FFB4B5D"/>
    <w:rsid w:val="700F1F41"/>
    <w:rsid w:val="705931BC"/>
    <w:rsid w:val="70763D6E"/>
    <w:rsid w:val="707A385E"/>
    <w:rsid w:val="709B5583"/>
    <w:rsid w:val="70A1528F"/>
    <w:rsid w:val="70A77D41"/>
    <w:rsid w:val="70B2124A"/>
    <w:rsid w:val="70D016D0"/>
    <w:rsid w:val="70D6480D"/>
    <w:rsid w:val="70DA60AB"/>
    <w:rsid w:val="70E20270"/>
    <w:rsid w:val="70FA503E"/>
    <w:rsid w:val="70FC4273"/>
    <w:rsid w:val="71346B9E"/>
    <w:rsid w:val="716167CC"/>
    <w:rsid w:val="71844269"/>
    <w:rsid w:val="71BB2380"/>
    <w:rsid w:val="71D56DC2"/>
    <w:rsid w:val="71FE401B"/>
    <w:rsid w:val="720A29C0"/>
    <w:rsid w:val="72127AC6"/>
    <w:rsid w:val="7278158D"/>
    <w:rsid w:val="72802C82"/>
    <w:rsid w:val="72874010"/>
    <w:rsid w:val="72A11576"/>
    <w:rsid w:val="72C139C6"/>
    <w:rsid w:val="72CB18E6"/>
    <w:rsid w:val="72D11F25"/>
    <w:rsid w:val="72EE1DE6"/>
    <w:rsid w:val="72F77F26"/>
    <w:rsid w:val="72FC49FE"/>
    <w:rsid w:val="73125FD0"/>
    <w:rsid w:val="73160344"/>
    <w:rsid w:val="734E0217"/>
    <w:rsid w:val="73522870"/>
    <w:rsid w:val="73E7745D"/>
    <w:rsid w:val="73FB6A64"/>
    <w:rsid w:val="74220495"/>
    <w:rsid w:val="742D6E39"/>
    <w:rsid w:val="7440091B"/>
    <w:rsid w:val="7452064E"/>
    <w:rsid w:val="74566390"/>
    <w:rsid w:val="74C90910"/>
    <w:rsid w:val="74C96B62"/>
    <w:rsid w:val="74D376A1"/>
    <w:rsid w:val="750758DC"/>
    <w:rsid w:val="752124FA"/>
    <w:rsid w:val="754E0E15"/>
    <w:rsid w:val="755F1275"/>
    <w:rsid w:val="75660855"/>
    <w:rsid w:val="75662603"/>
    <w:rsid w:val="756920F3"/>
    <w:rsid w:val="75734163"/>
    <w:rsid w:val="75752846"/>
    <w:rsid w:val="75790746"/>
    <w:rsid w:val="75A6528F"/>
    <w:rsid w:val="75BE41ED"/>
    <w:rsid w:val="75C612F4"/>
    <w:rsid w:val="75C7300D"/>
    <w:rsid w:val="75DC043A"/>
    <w:rsid w:val="75E04CFA"/>
    <w:rsid w:val="75E20B4B"/>
    <w:rsid w:val="75F95225"/>
    <w:rsid w:val="761672F4"/>
    <w:rsid w:val="762D4ECF"/>
    <w:rsid w:val="76360227"/>
    <w:rsid w:val="76375D4D"/>
    <w:rsid w:val="766703E1"/>
    <w:rsid w:val="767E1BCE"/>
    <w:rsid w:val="76830AB8"/>
    <w:rsid w:val="768D3BBF"/>
    <w:rsid w:val="769211D6"/>
    <w:rsid w:val="76AA4771"/>
    <w:rsid w:val="76B4739E"/>
    <w:rsid w:val="775A1CF3"/>
    <w:rsid w:val="77AD276B"/>
    <w:rsid w:val="77AD62C7"/>
    <w:rsid w:val="77CB0E43"/>
    <w:rsid w:val="77CF26E1"/>
    <w:rsid w:val="77DA1086"/>
    <w:rsid w:val="78056103"/>
    <w:rsid w:val="780D320A"/>
    <w:rsid w:val="78444618"/>
    <w:rsid w:val="78811502"/>
    <w:rsid w:val="7885199C"/>
    <w:rsid w:val="78CD4747"/>
    <w:rsid w:val="78CF4963"/>
    <w:rsid w:val="78D71467"/>
    <w:rsid w:val="78F87A16"/>
    <w:rsid w:val="79382508"/>
    <w:rsid w:val="7949166B"/>
    <w:rsid w:val="794C1640"/>
    <w:rsid w:val="794E7636"/>
    <w:rsid w:val="79690914"/>
    <w:rsid w:val="797C0647"/>
    <w:rsid w:val="79812A24"/>
    <w:rsid w:val="79AB2CDA"/>
    <w:rsid w:val="79C43D9C"/>
    <w:rsid w:val="79C97747"/>
    <w:rsid w:val="79DD6C0C"/>
    <w:rsid w:val="7A460C55"/>
    <w:rsid w:val="7A540C27"/>
    <w:rsid w:val="7A561EBB"/>
    <w:rsid w:val="7A805F15"/>
    <w:rsid w:val="7A8F43AA"/>
    <w:rsid w:val="7A903C7E"/>
    <w:rsid w:val="7AA5597C"/>
    <w:rsid w:val="7ABD2CC5"/>
    <w:rsid w:val="7AEE7323"/>
    <w:rsid w:val="7AFD1314"/>
    <w:rsid w:val="7AFD7566"/>
    <w:rsid w:val="7B252618"/>
    <w:rsid w:val="7B324FCD"/>
    <w:rsid w:val="7B334D35"/>
    <w:rsid w:val="7B4F1B1B"/>
    <w:rsid w:val="7B8D268F"/>
    <w:rsid w:val="7B9A6B62"/>
    <w:rsid w:val="7B9D6653"/>
    <w:rsid w:val="7BC167E5"/>
    <w:rsid w:val="7BD5403F"/>
    <w:rsid w:val="7BDF4EBD"/>
    <w:rsid w:val="7C9C4B5C"/>
    <w:rsid w:val="7C9E2682"/>
    <w:rsid w:val="7CA67789"/>
    <w:rsid w:val="7CB225A6"/>
    <w:rsid w:val="7CB652BB"/>
    <w:rsid w:val="7CCA3477"/>
    <w:rsid w:val="7CD51E1C"/>
    <w:rsid w:val="7D012C11"/>
    <w:rsid w:val="7D133070"/>
    <w:rsid w:val="7D5B67C5"/>
    <w:rsid w:val="7D605B8A"/>
    <w:rsid w:val="7D717D97"/>
    <w:rsid w:val="7D7B0C16"/>
    <w:rsid w:val="7D7E4262"/>
    <w:rsid w:val="7DA737B9"/>
    <w:rsid w:val="7DCC1471"/>
    <w:rsid w:val="7DF17FA3"/>
    <w:rsid w:val="7E265025"/>
    <w:rsid w:val="7ED700CE"/>
    <w:rsid w:val="7EDE145C"/>
    <w:rsid w:val="7EF70770"/>
    <w:rsid w:val="7EF90044"/>
    <w:rsid w:val="7F067BF9"/>
    <w:rsid w:val="7F0A2251"/>
    <w:rsid w:val="7F127358"/>
    <w:rsid w:val="7F392B36"/>
    <w:rsid w:val="7F3963E8"/>
    <w:rsid w:val="7F3D2627"/>
    <w:rsid w:val="7F507815"/>
    <w:rsid w:val="7F5B0CFF"/>
    <w:rsid w:val="7F8E3B81"/>
    <w:rsid w:val="7F967F89"/>
    <w:rsid w:val="7FAA57E2"/>
    <w:rsid w:val="7FB977D3"/>
    <w:rsid w:val="7FC20D7E"/>
    <w:rsid w:val="7FC44A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340" w:after="330" w:line="576" w:lineRule="auto"/>
      <w:jc w:val="center"/>
      <w:outlineLvl w:val="0"/>
    </w:pPr>
    <w:rPr>
      <w:rFonts w:eastAsia="黑体"/>
      <w:b/>
      <w:bCs/>
      <w:kern w:val="44"/>
      <w:sz w:val="28"/>
      <w:szCs w:val="44"/>
    </w:rPr>
  </w:style>
  <w:style w:type="paragraph" w:styleId="5">
    <w:name w:val="heading 2"/>
    <w:basedOn w:val="1"/>
    <w:next w:val="1"/>
    <w:unhideWhenUsed/>
    <w:qFormat/>
    <w:uiPriority w:val="9"/>
    <w:pPr>
      <w:keepNext/>
      <w:keepLines/>
      <w:numPr>
        <w:ilvl w:val="1"/>
        <w:numId w:val="1"/>
      </w:numPr>
      <w:spacing w:before="260" w:after="260" w:line="280" w:lineRule="exact"/>
      <w:jc w:val="left"/>
      <w:outlineLvl w:val="1"/>
    </w:pPr>
    <w:rPr>
      <w:rFonts w:ascii="Arial" w:hAnsi="Arial" w:eastAsia="黑体"/>
      <w:b/>
      <w:bCs/>
      <w:sz w:val="28"/>
      <w:szCs w:val="32"/>
    </w:rPr>
  </w:style>
  <w:style w:type="paragraph" w:styleId="6">
    <w:name w:val="heading 3"/>
    <w:basedOn w:val="1"/>
    <w:next w:val="1"/>
    <w:unhideWhenUsed/>
    <w:qFormat/>
    <w:uiPriority w:val="9"/>
    <w:pPr>
      <w:keepNext/>
      <w:keepLines/>
      <w:numPr>
        <w:ilvl w:val="2"/>
        <w:numId w:val="1"/>
      </w:numPr>
      <w:spacing w:before="260" w:after="260" w:line="413" w:lineRule="auto"/>
      <w:outlineLvl w:val="2"/>
    </w:pPr>
    <w:rPr>
      <w:rFonts w:eastAsia="黑体"/>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黑体" w:cs="黑体"/>
      <w:sz w:val="21"/>
      <w:szCs w:val="21"/>
      <w:lang w:val="en-US" w:eastAsia="zh-CN" w:bidi="ar-SA"/>
    </w:rPr>
  </w:style>
  <w:style w:type="paragraph" w:styleId="7">
    <w:name w:val="annotation text"/>
    <w:basedOn w:val="1"/>
    <w:qFormat/>
    <w:uiPriority w:val="0"/>
    <w:pPr>
      <w:jc w:val="left"/>
    </w:pPr>
    <w:rPr>
      <w:rFonts w:eastAsia="黑体"/>
    </w:rPr>
  </w:style>
  <w:style w:type="paragraph" w:styleId="8">
    <w:name w:val="Body Text"/>
    <w:basedOn w:val="1"/>
    <w:next w:val="1"/>
    <w:qFormat/>
    <w:uiPriority w:val="0"/>
    <w:pPr>
      <w:spacing w:after="120"/>
    </w:pPr>
    <w:rPr>
      <w:rFonts w:eastAsia="黑体"/>
    </w:rPr>
  </w:style>
  <w:style w:type="paragraph" w:styleId="9">
    <w:name w:val="Body Text Indent 2"/>
    <w:basedOn w:val="1"/>
    <w:qFormat/>
    <w:uiPriority w:val="0"/>
    <w:pPr>
      <w:spacing w:after="120" w:line="480" w:lineRule="auto"/>
      <w:ind w:left="200" w:leftChars="200"/>
    </w:pPr>
    <w:rPr>
      <w:rFonts w:eastAsia="黑体"/>
    </w:rPr>
  </w:style>
  <w:style w:type="paragraph" w:styleId="10">
    <w:name w:val="Balloon Text"/>
    <w:basedOn w:val="1"/>
    <w:link w:val="20"/>
    <w:semiHidden/>
    <w:unhideWhenUsed/>
    <w:qFormat/>
    <w:uiPriority w:val="99"/>
    <w:rPr>
      <w:sz w:val="18"/>
      <w:szCs w:val="18"/>
    </w:rPr>
  </w:style>
  <w:style w:type="paragraph" w:styleId="11">
    <w:name w:val="footer"/>
    <w:basedOn w:val="1"/>
    <w:qFormat/>
    <w:uiPriority w:val="0"/>
    <w:pPr>
      <w:tabs>
        <w:tab w:val="center" w:pos="4153"/>
        <w:tab w:val="right" w:pos="8306"/>
      </w:tabs>
      <w:snapToGrid w:val="0"/>
      <w:jc w:val="left"/>
    </w:pPr>
    <w:rPr>
      <w:rFonts w:eastAsia="黑体"/>
      <w:sz w:val="18"/>
      <w:szCs w:val="18"/>
    </w:rPr>
  </w:style>
  <w:style w:type="paragraph" w:styleId="12">
    <w:name w:val="header"/>
    <w:basedOn w:val="1"/>
    <w:qFormat/>
    <w:uiPriority w:val="0"/>
    <w:pPr>
      <w:tabs>
        <w:tab w:val="center" w:pos="4153"/>
        <w:tab w:val="right" w:pos="8306"/>
      </w:tabs>
      <w:snapToGrid w:val="0"/>
      <w:jc w:val="center"/>
    </w:pPr>
    <w:rPr>
      <w:rFonts w:eastAsia="黑体"/>
      <w:sz w:val="18"/>
      <w:szCs w:val="18"/>
    </w:rPr>
  </w:style>
  <w:style w:type="paragraph" w:styleId="13">
    <w:name w:val="Normal (Web)"/>
    <w:basedOn w:val="1"/>
    <w:semiHidden/>
    <w:unhideWhenUsed/>
    <w:qFormat/>
    <w:uiPriority w:val="99"/>
    <w:pPr>
      <w:spacing w:beforeAutospacing="1" w:afterAutospacing="1"/>
      <w:jc w:val="left"/>
    </w:pPr>
    <w:rPr>
      <w:kern w:val="0"/>
      <w:sz w:val="24"/>
    </w:rPr>
  </w:style>
  <w:style w:type="character" w:styleId="16">
    <w:name w:val="Strong"/>
    <w:basedOn w:val="15"/>
    <w:qFormat/>
    <w:uiPriority w:val="22"/>
    <w:rPr>
      <w:b/>
    </w:rPr>
  </w:style>
  <w:style w:type="paragraph" w:customStyle="1" w:styleId="17">
    <w:name w:val="正文首行缩进两字符"/>
    <w:basedOn w:val="1"/>
    <w:qFormat/>
    <w:uiPriority w:val="0"/>
    <w:pPr>
      <w:spacing w:line="360" w:lineRule="auto"/>
      <w:ind w:firstLine="200" w:firstLineChars="200"/>
    </w:pPr>
  </w:style>
  <w:style w:type="character" w:customStyle="1" w:styleId="18">
    <w:name w:val="15"/>
    <w:qFormat/>
    <w:uiPriority w:val="0"/>
    <w:rPr>
      <w:rFonts w:ascii="Times New Roman" w:hAnsi="Times New Roman" w:cs="Times New Roman"/>
      <w:color w:val="0000FF"/>
      <w:u w:val="single"/>
      <w:lang w:bidi="ar-SA"/>
    </w:rPr>
  </w:style>
  <w:style w:type="character" w:customStyle="1" w:styleId="19">
    <w:name w:val="标题 3 Char Char Char"/>
    <w:qFormat/>
    <w:uiPriority w:val="0"/>
    <w:rPr>
      <w:rFonts w:eastAsia="宋体"/>
      <w:b/>
      <w:kern w:val="2"/>
      <w:sz w:val="32"/>
      <w:lang w:val="en-US" w:eastAsia="zh-CN" w:bidi="ar-SA"/>
    </w:rPr>
  </w:style>
  <w:style w:type="character" w:customStyle="1" w:styleId="20">
    <w:name w:val="批注框文本 字符"/>
    <w:basedOn w:val="15"/>
    <w:link w:val="10"/>
    <w:semiHidden/>
    <w:qFormat/>
    <w:uiPriority w:val="99"/>
    <w:rPr>
      <w:kern w:val="2"/>
      <w:sz w:val="18"/>
      <w:szCs w:val="18"/>
    </w:rPr>
  </w:style>
  <w:style w:type="paragraph" w:styleId="21">
    <w:name w:val="List Paragraph"/>
    <w:basedOn w:val="1"/>
    <w:unhideWhenUsed/>
    <w:qFormat/>
    <w:uiPriority w:val="99"/>
    <w:pPr>
      <w:ind w:firstLine="420" w:firstLineChars="200"/>
    </w:pPr>
  </w:style>
  <w:style w:type="character" w:customStyle="1" w:styleId="22">
    <w:name w:val="NormalCharacter"/>
    <w:semiHidden/>
    <w:qFormat/>
    <w:uiPriority w:val="0"/>
  </w:style>
  <w:style w:type="paragraph" w:customStyle="1" w:styleId="2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F10B31-F3EF-4596-991C-5EC0657EB19E}">
  <ds:schemaRefs/>
</ds:datastoreItem>
</file>

<file path=docProps/app.xml><?xml version="1.0" encoding="utf-8"?>
<Properties xmlns="http://schemas.openxmlformats.org/officeDocument/2006/extended-properties" xmlns:vt="http://schemas.openxmlformats.org/officeDocument/2006/docPropsVTypes">
  <Template>Normal</Template>
  <Pages>23</Pages>
  <Words>9448</Words>
  <Characters>10185</Characters>
  <Lines>80</Lines>
  <Paragraphs>22</Paragraphs>
  <TotalTime>1152</TotalTime>
  <ScaleCrop>false</ScaleCrop>
  <LinksUpToDate>false</LinksUpToDate>
  <CharactersWithSpaces>10785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2021-09-13T06:27:00Z</dcterms:created>
  <dc:creator>minminmin</dc:creator>
  <cp:lastModifiedBy>Tina</cp:lastModifiedBy>
  <cp:lastPrinted>2022-09-30T02:38:00Z</cp:lastPrinted>
  <dcterms:modified xsi:type="dcterms:W3CDTF">2023-03-07T07:53:58Z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C6E13820E9B142F9B7C9803DD6F60F3B</vt:lpwstr>
  </property>
</Properties>
</file>